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5CC" w:rsidRPr="00B10946" w:rsidRDefault="00B8299F" w:rsidP="00E42474">
      <w:pPr>
        <w:spacing w:line="360" w:lineRule="auto"/>
        <w:jc w:val="center"/>
        <w:rPr>
          <w:rFonts w:ascii="Garamond" w:hAnsi="Garamond"/>
          <w:b/>
          <w:sz w:val="24"/>
          <w:szCs w:val="24"/>
        </w:rPr>
      </w:pPr>
      <w:r w:rsidRPr="00B10946">
        <w:rPr>
          <w:rFonts w:ascii="Garamond" w:hAnsi="Garamond"/>
          <w:b/>
          <w:sz w:val="24"/>
          <w:szCs w:val="24"/>
        </w:rPr>
        <w:t>Effect of Elections on Kenya’s Economy</w:t>
      </w:r>
    </w:p>
    <w:p w:rsidR="0042533C" w:rsidRDefault="00B8299F" w:rsidP="00E401D8">
      <w:pPr>
        <w:spacing w:line="360" w:lineRule="auto"/>
        <w:jc w:val="both"/>
        <w:rPr>
          <w:rFonts w:ascii="Garamond" w:hAnsi="Garamond"/>
          <w:sz w:val="24"/>
          <w:szCs w:val="24"/>
        </w:rPr>
      </w:pPr>
      <w:r>
        <w:rPr>
          <w:rFonts w:ascii="Garamond" w:hAnsi="Garamond"/>
          <w:sz w:val="24"/>
          <w:szCs w:val="24"/>
        </w:rPr>
        <w:t xml:space="preserve">Electioneering period in Kenya </w:t>
      </w:r>
      <w:r w:rsidR="000D459F">
        <w:rPr>
          <w:rFonts w:ascii="Garamond" w:hAnsi="Garamond"/>
          <w:sz w:val="24"/>
          <w:szCs w:val="24"/>
        </w:rPr>
        <w:t>has</w:t>
      </w:r>
      <w:r>
        <w:rPr>
          <w:rFonts w:ascii="Garamond" w:hAnsi="Garamond"/>
          <w:sz w:val="24"/>
          <w:szCs w:val="24"/>
        </w:rPr>
        <w:t xml:space="preserve"> often </w:t>
      </w:r>
      <w:r w:rsidR="000D459F">
        <w:rPr>
          <w:rFonts w:ascii="Garamond" w:hAnsi="Garamond"/>
          <w:sz w:val="24"/>
          <w:szCs w:val="24"/>
        </w:rPr>
        <w:t xml:space="preserve">been </w:t>
      </w:r>
      <w:r>
        <w:rPr>
          <w:rFonts w:ascii="Garamond" w:hAnsi="Garamond"/>
          <w:sz w:val="24"/>
          <w:szCs w:val="24"/>
        </w:rPr>
        <w:t xml:space="preserve">characterized </w:t>
      </w:r>
      <w:r w:rsidR="00E42474">
        <w:rPr>
          <w:rFonts w:ascii="Garamond" w:hAnsi="Garamond"/>
          <w:sz w:val="24"/>
          <w:szCs w:val="24"/>
        </w:rPr>
        <w:t xml:space="preserve">by </w:t>
      </w:r>
      <w:r>
        <w:rPr>
          <w:rFonts w:ascii="Garamond" w:hAnsi="Garamond"/>
          <w:sz w:val="24"/>
          <w:szCs w:val="24"/>
        </w:rPr>
        <w:t xml:space="preserve">high level </w:t>
      </w:r>
      <w:r w:rsidR="00E42474">
        <w:rPr>
          <w:rFonts w:ascii="Garamond" w:hAnsi="Garamond"/>
          <w:sz w:val="24"/>
          <w:szCs w:val="24"/>
        </w:rPr>
        <w:t xml:space="preserve">of </w:t>
      </w:r>
      <w:r>
        <w:rPr>
          <w:rFonts w:ascii="Garamond" w:hAnsi="Garamond"/>
          <w:sz w:val="24"/>
          <w:szCs w:val="24"/>
        </w:rPr>
        <w:t>politicking</w:t>
      </w:r>
      <w:r w:rsidR="000D459F">
        <w:rPr>
          <w:rFonts w:ascii="Garamond" w:hAnsi="Garamond"/>
          <w:sz w:val="24"/>
          <w:szCs w:val="24"/>
        </w:rPr>
        <w:t xml:space="preserve">. As a consequence, greater </w:t>
      </w:r>
      <w:r w:rsidR="00E42474">
        <w:rPr>
          <w:rFonts w:ascii="Garamond" w:hAnsi="Garamond"/>
          <w:sz w:val="24"/>
          <w:szCs w:val="24"/>
        </w:rPr>
        <w:t>focus</w:t>
      </w:r>
      <w:r w:rsidR="000D459F">
        <w:rPr>
          <w:rFonts w:ascii="Garamond" w:hAnsi="Garamond"/>
          <w:sz w:val="24"/>
          <w:szCs w:val="24"/>
        </w:rPr>
        <w:t xml:space="preserve"> </w:t>
      </w:r>
      <w:r w:rsidR="00E42474">
        <w:rPr>
          <w:rFonts w:ascii="Garamond" w:hAnsi="Garamond"/>
          <w:sz w:val="24"/>
          <w:szCs w:val="24"/>
        </w:rPr>
        <w:t>during</w:t>
      </w:r>
      <w:r w:rsidR="00A3788A">
        <w:rPr>
          <w:rFonts w:ascii="Garamond" w:hAnsi="Garamond"/>
          <w:sz w:val="24"/>
          <w:szCs w:val="24"/>
        </w:rPr>
        <w:t xml:space="preserve"> this period </w:t>
      </w:r>
      <w:r w:rsidR="000D459F">
        <w:rPr>
          <w:rFonts w:ascii="Garamond" w:hAnsi="Garamond"/>
          <w:sz w:val="24"/>
          <w:szCs w:val="24"/>
        </w:rPr>
        <w:t xml:space="preserve">has </w:t>
      </w:r>
      <w:r w:rsidR="00E42474">
        <w:rPr>
          <w:rFonts w:ascii="Garamond" w:hAnsi="Garamond"/>
          <w:sz w:val="24"/>
          <w:szCs w:val="24"/>
        </w:rPr>
        <w:t xml:space="preserve">mostly </w:t>
      </w:r>
      <w:r w:rsidR="000D459F">
        <w:rPr>
          <w:rFonts w:ascii="Garamond" w:hAnsi="Garamond"/>
          <w:sz w:val="24"/>
          <w:szCs w:val="24"/>
        </w:rPr>
        <w:t>been on politics</w:t>
      </w:r>
      <w:r w:rsidR="00A3788A">
        <w:rPr>
          <w:rFonts w:ascii="Garamond" w:hAnsi="Garamond"/>
          <w:sz w:val="24"/>
          <w:szCs w:val="24"/>
        </w:rPr>
        <w:t>,</w:t>
      </w:r>
      <w:r w:rsidR="000D459F">
        <w:rPr>
          <w:rFonts w:ascii="Garamond" w:hAnsi="Garamond"/>
          <w:sz w:val="24"/>
          <w:szCs w:val="24"/>
        </w:rPr>
        <w:t xml:space="preserve"> and this may have had an effect on general economic progress of the country. </w:t>
      </w:r>
    </w:p>
    <w:p w:rsidR="00B8299F" w:rsidRPr="00E42474" w:rsidRDefault="00E42474" w:rsidP="00E401D8">
      <w:pPr>
        <w:spacing w:line="360" w:lineRule="auto"/>
        <w:jc w:val="both"/>
        <w:rPr>
          <w:rFonts w:ascii="Garamond" w:hAnsi="Garamond"/>
          <w:b/>
          <w:sz w:val="24"/>
          <w:szCs w:val="24"/>
        </w:rPr>
      </w:pPr>
      <w:r>
        <w:rPr>
          <w:rFonts w:ascii="Garamond" w:hAnsi="Garamond"/>
          <w:b/>
          <w:sz w:val="24"/>
          <w:szCs w:val="24"/>
        </w:rPr>
        <w:t>Claim</w:t>
      </w:r>
      <w:r w:rsidR="007B72F2">
        <w:rPr>
          <w:rFonts w:ascii="Garamond" w:hAnsi="Garamond"/>
          <w:b/>
          <w:sz w:val="24"/>
          <w:szCs w:val="24"/>
        </w:rPr>
        <w:t xml:space="preserve"> [click </w:t>
      </w:r>
      <w:hyperlink r:id="rId8" w:history="1">
        <w:r w:rsidR="007B72F2">
          <w:rPr>
            <w:rStyle w:val="Hyperlink"/>
            <w:rFonts w:ascii="Garamond" w:hAnsi="Garamond"/>
            <w:sz w:val="20"/>
            <w:szCs w:val="20"/>
          </w:rPr>
          <w:t>here</w:t>
        </w:r>
      </w:hyperlink>
      <w:r w:rsidR="007B72F2">
        <w:rPr>
          <w:rFonts w:ascii="Garamond" w:hAnsi="Garamond"/>
          <w:b/>
          <w:sz w:val="24"/>
          <w:szCs w:val="24"/>
        </w:rPr>
        <w:t>]</w:t>
      </w:r>
      <w:r>
        <w:rPr>
          <w:rFonts w:ascii="Garamond" w:hAnsi="Garamond"/>
          <w:b/>
          <w:sz w:val="24"/>
          <w:szCs w:val="24"/>
        </w:rPr>
        <w:t xml:space="preserve">: </w:t>
      </w:r>
      <w:r w:rsidR="000D459F">
        <w:rPr>
          <w:rFonts w:ascii="Garamond" w:hAnsi="Garamond"/>
          <w:sz w:val="24"/>
          <w:szCs w:val="24"/>
        </w:rPr>
        <w:t>In February</w:t>
      </w:r>
      <w:r w:rsidR="0042533C">
        <w:rPr>
          <w:rFonts w:ascii="Garamond" w:hAnsi="Garamond"/>
          <w:sz w:val="24"/>
          <w:szCs w:val="24"/>
        </w:rPr>
        <w:t xml:space="preserve"> 2016, </w:t>
      </w:r>
      <w:r w:rsidR="00B8299F" w:rsidRPr="00B8299F">
        <w:rPr>
          <w:rFonts w:ascii="Garamond" w:hAnsi="Garamond"/>
          <w:sz w:val="24"/>
          <w:szCs w:val="24"/>
        </w:rPr>
        <w:t xml:space="preserve">Dr. Mukhisa Kituyi, the </w:t>
      </w:r>
      <w:r w:rsidR="00E5352C">
        <w:rPr>
          <w:rFonts w:ascii="Garamond" w:hAnsi="Garamond"/>
          <w:sz w:val="24"/>
          <w:szCs w:val="24"/>
        </w:rPr>
        <w:t xml:space="preserve">Secretary General of </w:t>
      </w:r>
      <w:r w:rsidR="00B8299F" w:rsidRPr="00B8299F">
        <w:rPr>
          <w:rFonts w:ascii="Garamond" w:hAnsi="Garamond"/>
          <w:sz w:val="24"/>
          <w:szCs w:val="24"/>
        </w:rPr>
        <w:t>United Nations Conference on Trade and Development</w:t>
      </w:r>
      <w:r w:rsidR="0042533C">
        <w:rPr>
          <w:rFonts w:ascii="Garamond" w:hAnsi="Garamond"/>
          <w:sz w:val="24"/>
          <w:szCs w:val="24"/>
        </w:rPr>
        <w:t>, was concerned with the effect of</w:t>
      </w:r>
      <w:r w:rsidR="00E5352C">
        <w:rPr>
          <w:rFonts w:ascii="Garamond" w:hAnsi="Garamond"/>
          <w:sz w:val="24"/>
          <w:szCs w:val="24"/>
        </w:rPr>
        <w:t xml:space="preserve"> the political campaigns on Kenya’s </w:t>
      </w:r>
      <w:r w:rsidR="0042533C">
        <w:rPr>
          <w:rFonts w:ascii="Garamond" w:hAnsi="Garamond"/>
          <w:sz w:val="24"/>
          <w:szCs w:val="24"/>
        </w:rPr>
        <w:t>economy. He asked</w:t>
      </w:r>
      <w:r w:rsidR="0042533C" w:rsidRPr="00B8299F">
        <w:rPr>
          <w:rFonts w:ascii="Garamond" w:hAnsi="Garamond"/>
          <w:sz w:val="24"/>
          <w:szCs w:val="24"/>
        </w:rPr>
        <w:t xml:space="preserve"> Kenyans to reduce political temperatures in the country and focus more on growing its economy.</w:t>
      </w:r>
      <w:r w:rsidR="00415DCB">
        <w:rPr>
          <w:rFonts w:ascii="Garamond" w:hAnsi="Garamond"/>
          <w:sz w:val="24"/>
          <w:szCs w:val="24"/>
        </w:rPr>
        <w:t xml:space="preserve"> He claims, “I</w:t>
      </w:r>
      <w:r w:rsidR="0042533C">
        <w:rPr>
          <w:rFonts w:ascii="Garamond" w:hAnsi="Garamond"/>
          <w:sz w:val="24"/>
          <w:szCs w:val="24"/>
        </w:rPr>
        <w:t xml:space="preserve">t is </w:t>
      </w:r>
      <w:r w:rsidR="00B8299F" w:rsidRPr="00B8299F">
        <w:rPr>
          <w:rFonts w:ascii="Garamond" w:hAnsi="Garamond"/>
          <w:sz w:val="24"/>
          <w:szCs w:val="24"/>
        </w:rPr>
        <w:t>sad that the country registers a decline in its economy due to incessant political bickering</w:t>
      </w:r>
      <w:r w:rsidR="00415DCB">
        <w:rPr>
          <w:rFonts w:ascii="Garamond" w:hAnsi="Garamond"/>
          <w:sz w:val="24"/>
          <w:szCs w:val="24"/>
        </w:rPr>
        <w:t>”</w:t>
      </w:r>
      <w:r w:rsidR="0042533C">
        <w:rPr>
          <w:rFonts w:ascii="Garamond" w:hAnsi="Garamond"/>
          <w:sz w:val="24"/>
          <w:szCs w:val="24"/>
        </w:rPr>
        <w:t xml:space="preserve">.  This brief </w:t>
      </w:r>
      <w:r w:rsidR="00B10946">
        <w:rPr>
          <w:rFonts w:ascii="Garamond" w:hAnsi="Garamond"/>
          <w:sz w:val="24"/>
          <w:szCs w:val="24"/>
        </w:rPr>
        <w:t>provides</w:t>
      </w:r>
      <w:r w:rsidR="0042533C">
        <w:rPr>
          <w:rFonts w:ascii="Garamond" w:hAnsi="Garamond"/>
          <w:sz w:val="24"/>
          <w:szCs w:val="24"/>
        </w:rPr>
        <w:t xml:space="preserve"> an analysis </w:t>
      </w:r>
      <w:r w:rsidR="003024B7">
        <w:rPr>
          <w:rFonts w:ascii="Garamond" w:hAnsi="Garamond"/>
          <w:sz w:val="24"/>
          <w:szCs w:val="24"/>
        </w:rPr>
        <w:t xml:space="preserve">with an aim of ascertaining whether or not the above </w:t>
      </w:r>
      <w:r w:rsidR="0042533C">
        <w:rPr>
          <w:rFonts w:ascii="Garamond" w:hAnsi="Garamond"/>
          <w:sz w:val="24"/>
          <w:szCs w:val="24"/>
        </w:rPr>
        <w:t>claim</w:t>
      </w:r>
      <w:r w:rsidR="003024B7">
        <w:rPr>
          <w:rFonts w:ascii="Garamond" w:hAnsi="Garamond"/>
          <w:sz w:val="24"/>
          <w:szCs w:val="24"/>
        </w:rPr>
        <w:t xml:space="preserve"> is true.</w:t>
      </w:r>
      <w:r w:rsidR="0042533C">
        <w:rPr>
          <w:rFonts w:ascii="Garamond" w:hAnsi="Garamond"/>
          <w:sz w:val="24"/>
          <w:szCs w:val="24"/>
        </w:rPr>
        <w:t xml:space="preserve"> </w:t>
      </w:r>
    </w:p>
    <w:p w:rsidR="0042533C" w:rsidRPr="00B8299F" w:rsidRDefault="00B10946" w:rsidP="00E401D8">
      <w:pPr>
        <w:spacing w:line="360" w:lineRule="auto"/>
        <w:jc w:val="both"/>
        <w:rPr>
          <w:rFonts w:ascii="Garamond" w:hAnsi="Garamond"/>
          <w:sz w:val="24"/>
          <w:szCs w:val="24"/>
        </w:rPr>
      </w:pPr>
      <w:r>
        <w:rPr>
          <w:rFonts w:ascii="Garamond" w:hAnsi="Garamond"/>
          <w:sz w:val="24"/>
          <w:szCs w:val="24"/>
        </w:rPr>
        <w:t>Th</w:t>
      </w:r>
      <w:r w:rsidR="00FB5D60">
        <w:rPr>
          <w:rFonts w:ascii="Garamond" w:hAnsi="Garamond"/>
          <w:sz w:val="24"/>
          <w:szCs w:val="24"/>
        </w:rPr>
        <w:t xml:space="preserve">is analysis </w:t>
      </w:r>
      <w:r w:rsidR="003024B7">
        <w:rPr>
          <w:rFonts w:ascii="Garamond" w:hAnsi="Garamond"/>
          <w:sz w:val="24"/>
          <w:szCs w:val="24"/>
        </w:rPr>
        <w:t>will involve</w:t>
      </w:r>
      <w:r>
        <w:rPr>
          <w:rFonts w:ascii="Garamond" w:hAnsi="Garamond"/>
          <w:sz w:val="24"/>
          <w:szCs w:val="24"/>
        </w:rPr>
        <w:t xml:space="preserve"> </w:t>
      </w:r>
      <w:r w:rsidR="003024B7">
        <w:rPr>
          <w:rFonts w:ascii="Garamond" w:hAnsi="Garamond"/>
          <w:sz w:val="24"/>
          <w:szCs w:val="24"/>
        </w:rPr>
        <w:t>exploring</w:t>
      </w:r>
      <w:r>
        <w:rPr>
          <w:rFonts w:ascii="Garamond" w:hAnsi="Garamond"/>
          <w:sz w:val="24"/>
          <w:szCs w:val="24"/>
        </w:rPr>
        <w:t xml:space="preserve"> the GDP growth rates from 1963 to 2014</w:t>
      </w:r>
      <w:r w:rsidR="003024B7">
        <w:rPr>
          <w:rFonts w:ascii="Garamond" w:hAnsi="Garamond"/>
          <w:sz w:val="24"/>
          <w:szCs w:val="24"/>
        </w:rPr>
        <w:t xml:space="preserve"> to examine trends in economic performance and identify </w:t>
      </w:r>
      <w:r w:rsidR="00A3788A">
        <w:rPr>
          <w:rFonts w:ascii="Garamond" w:hAnsi="Garamond"/>
          <w:sz w:val="24"/>
          <w:szCs w:val="24"/>
        </w:rPr>
        <w:t xml:space="preserve">whether </w:t>
      </w:r>
      <w:r w:rsidR="003024B7">
        <w:rPr>
          <w:rFonts w:ascii="Garamond" w:hAnsi="Garamond"/>
          <w:sz w:val="24"/>
          <w:szCs w:val="24"/>
        </w:rPr>
        <w:t>there exist</w:t>
      </w:r>
      <w:r w:rsidR="00A3788A">
        <w:rPr>
          <w:rFonts w:ascii="Garamond" w:hAnsi="Garamond"/>
          <w:sz w:val="24"/>
          <w:szCs w:val="24"/>
        </w:rPr>
        <w:t>s</w:t>
      </w:r>
      <w:r w:rsidR="003024B7">
        <w:rPr>
          <w:rFonts w:ascii="Garamond" w:hAnsi="Garamond"/>
          <w:sz w:val="24"/>
          <w:szCs w:val="24"/>
        </w:rPr>
        <w:t xml:space="preserve"> any patterns that lead us to confirm</w:t>
      </w:r>
      <w:r w:rsidR="00FB5D60">
        <w:rPr>
          <w:rFonts w:ascii="Garamond" w:hAnsi="Garamond"/>
          <w:sz w:val="24"/>
          <w:szCs w:val="24"/>
        </w:rPr>
        <w:t xml:space="preserve"> </w:t>
      </w:r>
      <w:r w:rsidR="003024B7">
        <w:rPr>
          <w:rFonts w:ascii="Garamond" w:hAnsi="Garamond"/>
          <w:sz w:val="24"/>
          <w:szCs w:val="24"/>
        </w:rPr>
        <w:t>th</w:t>
      </w:r>
      <w:r w:rsidR="00FB5D60">
        <w:rPr>
          <w:rFonts w:ascii="Garamond" w:hAnsi="Garamond"/>
          <w:sz w:val="24"/>
          <w:szCs w:val="24"/>
        </w:rPr>
        <w:t>at</w:t>
      </w:r>
      <w:r w:rsidR="003024B7">
        <w:rPr>
          <w:rFonts w:ascii="Garamond" w:hAnsi="Garamond"/>
          <w:sz w:val="24"/>
          <w:szCs w:val="24"/>
        </w:rPr>
        <w:t xml:space="preserve"> economic performance </w:t>
      </w:r>
      <w:r w:rsidR="00FB5D60">
        <w:rPr>
          <w:rFonts w:ascii="Garamond" w:hAnsi="Garamond"/>
          <w:sz w:val="24"/>
          <w:szCs w:val="24"/>
        </w:rPr>
        <w:t>is</w:t>
      </w:r>
      <w:r w:rsidR="003024B7">
        <w:rPr>
          <w:rFonts w:ascii="Garamond" w:hAnsi="Garamond"/>
          <w:sz w:val="24"/>
          <w:szCs w:val="24"/>
        </w:rPr>
        <w:t xml:space="preserve"> affected by political campaigns</w:t>
      </w:r>
      <w:r>
        <w:rPr>
          <w:rFonts w:ascii="Garamond" w:hAnsi="Garamond"/>
          <w:sz w:val="24"/>
          <w:szCs w:val="24"/>
        </w:rPr>
        <w:t xml:space="preserve">. </w:t>
      </w:r>
      <w:r w:rsidR="003024B7">
        <w:rPr>
          <w:rFonts w:ascii="Garamond" w:hAnsi="Garamond"/>
          <w:sz w:val="24"/>
          <w:szCs w:val="24"/>
        </w:rPr>
        <w:t xml:space="preserve">The </w:t>
      </w:r>
      <w:r w:rsidR="00AA7E45">
        <w:rPr>
          <w:rFonts w:ascii="Garamond" w:hAnsi="Garamond"/>
          <w:sz w:val="24"/>
          <w:szCs w:val="24"/>
        </w:rPr>
        <w:t xml:space="preserve">years of </w:t>
      </w:r>
      <w:r w:rsidR="003024B7">
        <w:rPr>
          <w:rFonts w:ascii="Garamond" w:hAnsi="Garamond"/>
          <w:sz w:val="24"/>
          <w:szCs w:val="24"/>
        </w:rPr>
        <w:t>general elections</w:t>
      </w:r>
      <w:r w:rsidR="00AA7E45">
        <w:rPr>
          <w:rFonts w:ascii="Garamond" w:hAnsi="Garamond"/>
          <w:sz w:val="24"/>
          <w:szCs w:val="24"/>
        </w:rPr>
        <w:t xml:space="preserve"> will form a criterion upon which the comparison of GDP growth rates would be made</w:t>
      </w:r>
      <w:r w:rsidR="006E0BD0">
        <w:rPr>
          <w:rFonts w:ascii="Garamond" w:hAnsi="Garamond"/>
          <w:sz w:val="24"/>
          <w:szCs w:val="24"/>
        </w:rPr>
        <w:t xml:space="preserve"> (here we make </w:t>
      </w:r>
      <w:r w:rsidR="00AA7E45">
        <w:rPr>
          <w:rFonts w:ascii="Garamond" w:hAnsi="Garamond"/>
          <w:sz w:val="24"/>
          <w:szCs w:val="24"/>
        </w:rPr>
        <w:t>an assumption that election campaigns are epitomized at this period hence would have the highest impact on economic performance of the country</w:t>
      </w:r>
      <w:r w:rsidR="006E0BD0">
        <w:rPr>
          <w:rFonts w:ascii="Garamond" w:hAnsi="Garamond"/>
          <w:sz w:val="24"/>
          <w:szCs w:val="24"/>
        </w:rPr>
        <w:t>)</w:t>
      </w:r>
      <w:r w:rsidR="00AA7E45">
        <w:rPr>
          <w:rFonts w:ascii="Garamond" w:hAnsi="Garamond"/>
          <w:sz w:val="24"/>
          <w:szCs w:val="24"/>
        </w:rPr>
        <w:t xml:space="preserve">. </w:t>
      </w:r>
      <w:r w:rsidR="003024B7">
        <w:rPr>
          <w:rFonts w:ascii="Garamond" w:hAnsi="Garamond"/>
          <w:sz w:val="24"/>
          <w:szCs w:val="24"/>
        </w:rPr>
        <w:t xml:space="preserve"> </w:t>
      </w:r>
      <w:r w:rsidR="00DA1318">
        <w:rPr>
          <w:rFonts w:ascii="Garamond" w:hAnsi="Garamond"/>
          <w:sz w:val="24"/>
          <w:szCs w:val="24"/>
        </w:rPr>
        <w:t xml:space="preserve">The growth rates on election years </w:t>
      </w:r>
      <w:r w:rsidR="006E0BD0">
        <w:rPr>
          <w:rFonts w:ascii="Garamond" w:hAnsi="Garamond"/>
          <w:sz w:val="24"/>
          <w:szCs w:val="24"/>
        </w:rPr>
        <w:t>will be</w:t>
      </w:r>
      <w:r w:rsidR="00DA1318">
        <w:rPr>
          <w:rFonts w:ascii="Garamond" w:hAnsi="Garamond"/>
          <w:sz w:val="24"/>
          <w:szCs w:val="24"/>
        </w:rPr>
        <w:t xml:space="preserve"> compared with</w:t>
      </w:r>
      <w:r w:rsidR="008D039D">
        <w:rPr>
          <w:rFonts w:ascii="Garamond" w:hAnsi="Garamond"/>
          <w:sz w:val="24"/>
          <w:szCs w:val="24"/>
        </w:rPr>
        <w:t xml:space="preserve"> those </w:t>
      </w:r>
      <w:r w:rsidR="00DA1318">
        <w:rPr>
          <w:rFonts w:ascii="Garamond" w:hAnsi="Garamond"/>
          <w:sz w:val="24"/>
          <w:szCs w:val="24"/>
        </w:rPr>
        <w:t>on non-election years</w:t>
      </w:r>
      <w:r w:rsidR="006D57E1">
        <w:rPr>
          <w:rFonts w:ascii="Garamond" w:hAnsi="Garamond"/>
          <w:sz w:val="24"/>
          <w:szCs w:val="24"/>
        </w:rPr>
        <w:t>.</w:t>
      </w:r>
      <w:r w:rsidR="00314562">
        <w:rPr>
          <w:rFonts w:ascii="Garamond" w:hAnsi="Garamond"/>
          <w:sz w:val="24"/>
          <w:szCs w:val="24"/>
        </w:rPr>
        <w:t xml:space="preserve"> </w:t>
      </w:r>
      <w:r w:rsidR="00614D2E">
        <w:rPr>
          <w:rFonts w:ascii="Garamond" w:hAnsi="Garamond"/>
          <w:sz w:val="24"/>
          <w:szCs w:val="24"/>
        </w:rPr>
        <w:t>A</w:t>
      </w:r>
      <w:r w:rsidR="00415DCB">
        <w:rPr>
          <w:rFonts w:ascii="Garamond" w:hAnsi="Garamond"/>
          <w:sz w:val="24"/>
          <w:szCs w:val="24"/>
        </w:rPr>
        <w:t>ware of the fact that</w:t>
      </w:r>
      <w:r w:rsidR="00614D2E">
        <w:rPr>
          <w:rFonts w:ascii="Garamond" w:hAnsi="Garamond"/>
          <w:sz w:val="24"/>
          <w:szCs w:val="24"/>
        </w:rPr>
        <w:t xml:space="preserve"> </w:t>
      </w:r>
      <w:r w:rsidR="00314562">
        <w:rPr>
          <w:rFonts w:ascii="Garamond" w:hAnsi="Garamond"/>
          <w:sz w:val="24"/>
          <w:szCs w:val="24"/>
        </w:rPr>
        <w:t xml:space="preserve">GDP growth rates may be affected by </w:t>
      </w:r>
      <w:r w:rsidR="006D57E1">
        <w:rPr>
          <w:rFonts w:ascii="Garamond" w:hAnsi="Garamond"/>
          <w:sz w:val="24"/>
          <w:szCs w:val="24"/>
        </w:rPr>
        <w:t>occasional factors such as drought, terrorism and economic sanctions</w:t>
      </w:r>
      <w:r w:rsidR="0018069C">
        <w:rPr>
          <w:rFonts w:ascii="Garamond" w:hAnsi="Garamond"/>
          <w:sz w:val="24"/>
          <w:szCs w:val="24"/>
        </w:rPr>
        <w:t>,</w:t>
      </w:r>
      <w:r w:rsidR="00415DCB">
        <w:rPr>
          <w:rFonts w:ascii="Garamond" w:hAnsi="Garamond"/>
          <w:sz w:val="24"/>
          <w:szCs w:val="24"/>
        </w:rPr>
        <w:t xml:space="preserve"> </w:t>
      </w:r>
      <w:r w:rsidR="006E0BD0">
        <w:rPr>
          <w:rFonts w:ascii="Garamond" w:hAnsi="Garamond"/>
          <w:sz w:val="24"/>
          <w:szCs w:val="24"/>
        </w:rPr>
        <w:t>this analysis cover</w:t>
      </w:r>
      <w:r w:rsidR="00614D2E">
        <w:rPr>
          <w:rFonts w:ascii="Garamond" w:hAnsi="Garamond"/>
          <w:sz w:val="24"/>
          <w:szCs w:val="24"/>
        </w:rPr>
        <w:t>s</w:t>
      </w:r>
      <w:r w:rsidR="006E0BD0">
        <w:rPr>
          <w:rFonts w:ascii="Garamond" w:hAnsi="Garamond"/>
          <w:sz w:val="24"/>
          <w:szCs w:val="24"/>
        </w:rPr>
        <w:t xml:space="preserve"> a long period of time </w:t>
      </w:r>
      <w:r w:rsidR="00614D2E">
        <w:rPr>
          <w:rFonts w:ascii="Garamond" w:hAnsi="Garamond"/>
          <w:sz w:val="24"/>
          <w:szCs w:val="24"/>
        </w:rPr>
        <w:t>(</w:t>
      </w:r>
      <w:r w:rsidR="006E0BD0">
        <w:rPr>
          <w:rFonts w:ascii="Garamond" w:hAnsi="Garamond"/>
          <w:sz w:val="24"/>
          <w:szCs w:val="24"/>
        </w:rPr>
        <w:t>51 years</w:t>
      </w:r>
      <w:r w:rsidR="00614D2E">
        <w:rPr>
          <w:rFonts w:ascii="Garamond" w:hAnsi="Garamond"/>
          <w:sz w:val="24"/>
          <w:szCs w:val="24"/>
        </w:rPr>
        <w:t>)</w:t>
      </w:r>
      <w:r w:rsidR="006E0BD0">
        <w:rPr>
          <w:rFonts w:ascii="Garamond" w:hAnsi="Garamond"/>
          <w:sz w:val="24"/>
          <w:szCs w:val="24"/>
        </w:rPr>
        <w:t>; from 1963 to</w:t>
      </w:r>
      <w:r w:rsidR="00614D2E">
        <w:rPr>
          <w:rFonts w:ascii="Garamond" w:hAnsi="Garamond"/>
          <w:sz w:val="24"/>
          <w:szCs w:val="24"/>
        </w:rPr>
        <w:t xml:space="preserve"> </w:t>
      </w:r>
      <w:r w:rsidR="006E0BD0">
        <w:rPr>
          <w:rFonts w:ascii="Garamond" w:hAnsi="Garamond"/>
          <w:sz w:val="24"/>
          <w:szCs w:val="24"/>
        </w:rPr>
        <w:t>2014</w:t>
      </w:r>
      <w:r w:rsidR="00614D2E">
        <w:rPr>
          <w:rFonts w:ascii="Garamond" w:hAnsi="Garamond"/>
          <w:sz w:val="24"/>
          <w:szCs w:val="24"/>
        </w:rPr>
        <w:t xml:space="preserve">. </w:t>
      </w:r>
      <w:r w:rsidR="00024D04">
        <w:rPr>
          <w:rFonts w:ascii="Garamond" w:hAnsi="Garamond"/>
          <w:sz w:val="24"/>
          <w:szCs w:val="24"/>
        </w:rPr>
        <w:t>A</w:t>
      </w:r>
      <w:r w:rsidR="00310AA7">
        <w:rPr>
          <w:rFonts w:ascii="Garamond" w:hAnsi="Garamond"/>
          <w:sz w:val="24"/>
          <w:szCs w:val="24"/>
        </w:rPr>
        <w:t xml:space="preserve">nalyzing </w:t>
      </w:r>
      <w:r w:rsidR="00415DCB">
        <w:rPr>
          <w:rFonts w:ascii="Garamond" w:hAnsi="Garamond"/>
          <w:sz w:val="24"/>
          <w:szCs w:val="24"/>
        </w:rPr>
        <w:t xml:space="preserve">GDP rates </w:t>
      </w:r>
      <w:r w:rsidR="00310AA7">
        <w:rPr>
          <w:rFonts w:ascii="Garamond" w:hAnsi="Garamond"/>
          <w:sz w:val="24"/>
          <w:szCs w:val="24"/>
        </w:rPr>
        <w:t xml:space="preserve">over a long period </w:t>
      </w:r>
      <w:r w:rsidR="00024D04">
        <w:rPr>
          <w:rFonts w:ascii="Garamond" w:hAnsi="Garamond"/>
          <w:sz w:val="24"/>
          <w:szCs w:val="24"/>
        </w:rPr>
        <w:t xml:space="preserve">minimizes the </w:t>
      </w:r>
      <w:r w:rsidR="006E0BD0">
        <w:rPr>
          <w:rFonts w:ascii="Garamond" w:hAnsi="Garamond"/>
          <w:sz w:val="24"/>
          <w:szCs w:val="24"/>
        </w:rPr>
        <w:t>effect of occasional factors</w:t>
      </w:r>
      <w:r w:rsidR="00415DCB">
        <w:rPr>
          <w:rFonts w:ascii="Garamond" w:hAnsi="Garamond"/>
          <w:sz w:val="24"/>
          <w:szCs w:val="24"/>
        </w:rPr>
        <w:t>.</w:t>
      </w:r>
    </w:p>
    <w:p w:rsidR="006E0BD0" w:rsidRDefault="006E0BD0">
      <w:pPr>
        <w:rPr>
          <w:rFonts w:ascii="Garamond" w:hAnsi="Garamond"/>
          <w:b/>
          <w:sz w:val="24"/>
          <w:szCs w:val="24"/>
        </w:rPr>
      </w:pPr>
      <w:r>
        <w:rPr>
          <w:rFonts w:ascii="Garamond" w:hAnsi="Garamond"/>
          <w:b/>
          <w:sz w:val="24"/>
          <w:szCs w:val="24"/>
        </w:rPr>
        <w:br w:type="page"/>
      </w:r>
    </w:p>
    <w:p w:rsidR="002445CC" w:rsidRPr="002445CC" w:rsidRDefault="002445CC" w:rsidP="00E401D8">
      <w:pPr>
        <w:spacing w:line="360" w:lineRule="auto"/>
        <w:jc w:val="both"/>
        <w:rPr>
          <w:rFonts w:ascii="Garamond" w:hAnsi="Garamond"/>
          <w:b/>
          <w:sz w:val="24"/>
          <w:szCs w:val="24"/>
        </w:rPr>
      </w:pPr>
      <w:r w:rsidRPr="002445CC">
        <w:rPr>
          <w:rFonts w:ascii="Garamond" w:hAnsi="Garamond"/>
          <w:b/>
          <w:sz w:val="24"/>
          <w:szCs w:val="24"/>
        </w:rPr>
        <w:t xml:space="preserve">Chart 1: Trend in </w:t>
      </w:r>
      <w:r w:rsidR="00DA1318">
        <w:rPr>
          <w:rFonts w:ascii="Garamond" w:hAnsi="Garamond"/>
          <w:b/>
          <w:sz w:val="24"/>
          <w:szCs w:val="24"/>
        </w:rPr>
        <w:t xml:space="preserve">annual </w:t>
      </w:r>
      <w:r w:rsidRPr="002445CC">
        <w:rPr>
          <w:rFonts w:ascii="Garamond" w:hAnsi="Garamond"/>
          <w:b/>
          <w:sz w:val="24"/>
          <w:szCs w:val="24"/>
        </w:rPr>
        <w:t>GDP growth rates</w:t>
      </w:r>
      <w:r w:rsidR="00310AA7">
        <w:rPr>
          <w:rFonts w:ascii="Garamond" w:hAnsi="Garamond"/>
          <w:b/>
          <w:sz w:val="24"/>
          <w:szCs w:val="24"/>
        </w:rPr>
        <w:t xml:space="preserve"> for Kenya</w:t>
      </w:r>
    </w:p>
    <w:p w:rsidR="002C2D24" w:rsidRDefault="00CF723D" w:rsidP="00E401D8">
      <w:pPr>
        <w:spacing w:line="360" w:lineRule="auto"/>
        <w:jc w:val="both"/>
        <w:rPr>
          <w:rFonts w:ascii="Garamond" w:hAnsi="Garamond"/>
          <w:b/>
          <w:sz w:val="24"/>
          <w:szCs w:val="24"/>
        </w:rPr>
      </w:pPr>
      <w:r>
        <w:rPr>
          <w:noProof/>
        </w:rPr>
        <w:drawing>
          <wp:inline distT="0" distB="0" distL="0" distR="0">
            <wp:extent cx="5981700" cy="2352675"/>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C2D24" w:rsidRDefault="002445CC" w:rsidP="00E401D8">
      <w:pPr>
        <w:spacing w:line="360" w:lineRule="auto"/>
        <w:jc w:val="both"/>
        <w:rPr>
          <w:rFonts w:ascii="Garamond" w:hAnsi="Garamond"/>
          <w:sz w:val="24"/>
          <w:szCs w:val="24"/>
        </w:rPr>
      </w:pPr>
      <w:r w:rsidRPr="009E0FC2">
        <w:rPr>
          <w:rFonts w:ascii="Garamond" w:hAnsi="Garamond"/>
          <w:b/>
          <w:sz w:val="24"/>
          <w:szCs w:val="24"/>
        </w:rPr>
        <w:t>Source:</w:t>
      </w:r>
      <w:r w:rsidRPr="002445CC">
        <w:rPr>
          <w:rFonts w:ascii="Garamond" w:hAnsi="Garamond"/>
          <w:sz w:val="24"/>
          <w:szCs w:val="24"/>
        </w:rPr>
        <w:t xml:space="preserve"> World Bank</w:t>
      </w:r>
    </w:p>
    <w:p w:rsidR="0097724D" w:rsidRDefault="0097724D" w:rsidP="00E401D8">
      <w:pPr>
        <w:spacing w:line="360" w:lineRule="auto"/>
        <w:jc w:val="both"/>
        <w:rPr>
          <w:rFonts w:ascii="Garamond" w:hAnsi="Garamond"/>
          <w:sz w:val="24"/>
          <w:szCs w:val="24"/>
        </w:rPr>
      </w:pPr>
      <w:r>
        <w:rPr>
          <w:rFonts w:ascii="Garamond" w:hAnsi="Garamond"/>
          <w:sz w:val="24"/>
          <w:szCs w:val="24"/>
        </w:rPr>
        <w:t xml:space="preserve">The chart above </w:t>
      </w:r>
      <w:r w:rsidR="00E401D8">
        <w:rPr>
          <w:rFonts w:ascii="Garamond" w:hAnsi="Garamond"/>
          <w:sz w:val="24"/>
          <w:szCs w:val="24"/>
        </w:rPr>
        <w:t>illustrates</w:t>
      </w:r>
      <w:r>
        <w:rPr>
          <w:rFonts w:ascii="Garamond" w:hAnsi="Garamond"/>
          <w:sz w:val="24"/>
          <w:szCs w:val="24"/>
        </w:rPr>
        <w:t xml:space="preserve"> the </w:t>
      </w:r>
      <w:r w:rsidR="00AD1E4C">
        <w:rPr>
          <w:rFonts w:ascii="Garamond" w:hAnsi="Garamond"/>
          <w:sz w:val="24"/>
          <w:szCs w:val="24"/>
        </w:rPr>
        <w:t>trend</w:t>
      </w:r>
      <w:r w:rsidR="00E401D8">
        <w:rPr>
          <w:rFonts w:ascii="Garamond" w:hAnsi="Garamond"/>
          <w:sz w:val="24"/>
          <w:szCs w:val="24"/>
        </w:rPr>
        <w:t xml:space="preserve"> in GDP growth rates</w:t>
      </w:r>
      <w:r w:rsidR="00D66B15">
        <w:rPr>
          <w:rFonts w:ascii="Garamond" w:hAnsi="Garamond"/>
          <w:sz w:val="24"/>
          <w:szCs w:val="24"/>
        </w:rPr>
        <w:t xml:space="preserve"> (constant 2005)</w:t>
      </w:r>
      <w:r w:rsidR="00E401D8">
        <w:rPr>
          <w:rFonts w:ascii="Garamond" w:hAnsi="Garamond"/>
          <w:sz w:val="24"/>
          <w:szCs w:val="24"/>
        </w:rPr>
        <w:t xml:space="preserve"> from 1963 to 2</w:t>
      </w:r>
      <w:r w:rsidR="00310AA7">
        <w:rPr>
          <w:rFonts w:ascii="Garamond" w:hAnsi="Garamond"/>
          <w:sz w:val="24"/>
          <w:szCs w:val="24"/>
        </w:rPr>
        <w:t>014</w:t>
      </w:r>
      <w:r w:rsidR="00AD1E4C">
        <w:rPr>
          <w:rFonts w:ascii="Garamond" w:hAnsi="Garamond"/>
          <w:sz w:val="24"/>
          <w:szCs w:val="24"/>
        </w:rPr>
        <w:t xml:space="preserve">. The </w:t>
      </w:r>
      <w:r w:rsidR="00024D04">
        <w:rPr>
          <w:rFonts w:ascii="Garamond" w:hAnsi="Garamond"/>
          <w:sz w:val="24"/>
          <w:szCs w:val="24"/>
        </w:rPr>
        <w:t>trend reveals</w:t>
      </w:r>
      <w:r w:rsidR="00AD1E4C">
        <w:rPr>
          <w:rFonts w:ascii="Garamond" w:hAnsi="Garamond"/>
          <w:sz w:val="24"/>
          <w:szCs w:val="24"/>
        </w:rPr>
        <w:t xml:space="preserve"> the general </w:t>
      </w:r>
      <w:r w:rsidR="00E401D8">
        <w:rPr>
          <w:rFonts w:ascii="Garamond" w:hAnsi="Garamond"/>
          <w:sz w:val="24"/>
          <w:szCs w:val="24"/>
        </w:rPr>
        <w:t>economic performance</w:t>
      </w:r>
      <w:r w:rsidR="006E0BD0">
        <w:rPr>
          <w:rFonts w:ascii="Garamond" w:hAnsi="Garamond"/>
          <w:sz w:val="24"/>
          <w:szCs w:val="24"/>
        </w:rPr>
        <w:t xml:space="preserve"> of Kenya since 1963 by looking at annual changes in the volume of the final goods and services produced in the country. </w:t>
      </w:r>
      <w:r w:rsidR="00AD1E4C">
        <w:rPr>
          <w:rFonts w:ascii="Garamond" w:hAnsi="Garamond"/>
          <w:sz w:val="24"/>
          <w:szCs w:val="24"/>
        </w:rPr>
        <w:t xml:space="preserve"> </w:t>
      </w:r>
      <w:r w:rsidR="006216A0">
        <w:rPr>
          <w:rFonts w:ascii="Garamond" w:hAnsi="Garamond"/>
          <w:sz w:val="24"/>
          <w:szCs w:val="24"/>
        </w:rPr>
        <w:t>T</w:t>
      </w:r>
      <w:r w:rsidR="00D66B15">
        <w:rPr>
          <w:rFonts w:ascii="Garamond" w:hAnsi="Garamond"/>
          <w:sz w:val="24"/>
          <w:szCs w:val="24"/>
        </w:rPr>
        <w:t xml:space="preserve">he constant </w:t>
      </w:r>
      <w:r w:rsidR="006216A0">
        <w:rPr>
          <w:rFonts w:ascii="Garamond" w:hAnsi="Garamond"/>
          <w:sz w:val="24"/>
          <w:szCs w:val="24"/>
        </w:rPr>
        <w:t xml:space="preserve">GDP growth </w:t>
      </w:r>
      <w:r w:rsidR="00D66B15">
        <w:rPr>
          <w:rFonts w:ascii="Garamond" w:hAnsi="Garamond"/>
          <w:sz w:val="24"/>
          <w:szCs w:val="24"/>
        </w:rPr>
        <w:t xml:space="preserve">rates </w:t>
      </w:r>
      <w:r w:rsidR="006216A0">
        <w:rPr>
          <w:rFonts w:ascii="Garamond" w:hAnsi="Garamond"/>
          <w:sz w:val="24"/>
          <w:szCs w:val="24"/>
        </w:rPr>
        <w:t>remove the effect of</w:t>
      </w:r>
      <w:r w:rsidR="00D66B15">
        <w:rPr>
          <w:rFonts w:ascii="Garamond" w:hAnsi="Garamond"/>
          <w:sz w:val="24"/>
          <w:szCs w:val="24"/>
        </w:rPr>
        <w:t xml:space="preserve"> </w:t>
      </w:r>
      <w:r w:rsidR="00024D04">
        <w:rPr>
          <w:rFonts w:ascii="Garamond" w:hAnsi="Garamond"/>
          <w:sz w:val="24"/>
          <w:szCs w:val="24"/>
        </w:rPr>
        <w:t>inflation;</w:t>
      </w:r>
      <w:r w:rsidR="00D66B15">
        <w:rPr>
          <w:rFonts w:ascii="Garamond" w:hAnsi="Garamond"/>
          <w:sz w:val="24"/>
          <w:szCs w:val="24"/>
        </w:rPr>
        <w:t xml:space="preserve"> </w:t>
      </w:r>
      <w:r w:rsidR="006216A0">
        <w:rPr>
          <w:rFonts w:ascii="Garamond" w:hAnsi="Garamond"/>
          <w:sz w:val="24"/>
          <w:szCs w:val="24"/>
        </w:rPr>
        <w:t xml:space="preserve">this enables us to observe </w:t>
      </w:r>
      <w:r w:rsidR="00D66B15">
        <w:rPr>
          <w:rFonts w:ascii="Garamond" w:hAnsi="Garamond"/>
          <w:sz w:val="24"/>
          <w:szCs w:val="24"/>
        </w:rPr>
        <w:t>the real</w:t>
      </w:r>
      <w:r w:rsidR="00AD1E4C">
        <w:rPr>
          <w:rFonts w:ascii="Garamond" w:hAnsi="Garamond"/>
          <w:sz w:val="24"/>
          <w:szCs w:val="24"/>
        </w:rPr>
        <w:t xml:space="preserve"> econom</w:t>
      </w:r>
      <w:r w:rsidR="006216A0">
        <w:rPr>
          <w:rFonts w:ascii="Garamond" w:hAnsi="Garamond"/>
          <w:sz w:val="24"/>
          <w:szCs w:val="24"/>
        </w:rPr>
        <w:t>ic performance across the period</w:t>
      </w:r>
      <w:r w:rsidR="00310AA7">
        <w:rPr>
          <w:rFonts w:ascii="Garamond" w:hAnsi="Garamond"/>
          <w:sz w:val="24"/>
          <w:szCs w:val="24"/>
        </w:rPr>
        <w:t xml:space="preserve">. </w:t>
      </w:r>
      <w:r w:rsidR="00E42474">
        <w:rPr>
          <w:rFonts w:ascii="Garamond" w:hAnsi="Garamond"/>
          <w:sz w:val="24"/>
          <w:szCs w:val="24"/>
        </w:rPr>
        <w:t xml:space="preserve">The analysis is summarized in Table 1 below:- </w:t>
      </w: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Default="00024D04" w:rsidP="00E401D8">
      <w:pPr>
        <w:spacing w:line="360" w:lineRule="auto"/>
        <w:jc w:val="both"/>
        <w:rPr>
          <w:rFonts w:ascii="Garamond" w:hAnsi="Garamond"/>
          <w:sz w:val="24"/>
          <w:szCs w:val="24"/>
        </w:rPr>
      </w:pPr>
    </w:p>
    <w:p w:rsidR="00024D04" w:rsidRPr="00DA1318" w:rsidRDefault="00024D04" w:rsidP="00E401D8">
      <w:pPr>
        <w:spacing w:line="360" w:lineRule="auto"/>
        <w:jc w:val="both"/>
      </w:pPr>
    </w:p>
    <w:p w:rsidR="009E0FC2" w:rsidRPr="00E42474" w:rsidRDefault="00B8299F" w:rsidP="00E42474">
      <w:pPr>
        <w:spacing w:line="240" w:lineRule="auto"/>
        <w:jc w:val="both"/>
        <w:rPr>
          <w:rFonts w:ascii="Garamond" w:hAnsi="Garamond"/>
          <w:b/>
          <w:sz w:val="24"/>
          <w:szCs w:val="24"/>
        </w:rPr>
      </w:pPr>
      <w:r w:rsidRPr="00E42474">
        <w:rPr>
          <w:rFonts w:ascii="Garamond" w:hAnsi="Garamond"/>
          <w:b/>
          <w:sz w:val="24"/>
          <w:szCs w:val="24"/>
        </w:rPr>
        <w:t>Table 1</w:t>
      </w:r>
      <w:r w:rsidR="00024D04">
        <w:rPr>
          <w:rFonts w:ascii="Garamond" w:hAnsi="Garamond"/>
          <w:b/>
          <w:sz w:val="24"/>
          <w:szCs w:val="24"/>
        </w:rPr>
        <w:t>:</w:t>
      </w:r>
      <w:r w:rsidRPr="00E42474">
        <w:rPr>
          <w:rFonts w:ascii="Garamond" w:hAnsi="Garamond"/>
          <w:b/>
          <w:sz w:val="24"/>
          <w:szCs w:val="24"/>
        </w:rPr>
        <w:t xml:space="preserve"> Summary of GDP gro</w:t>
      </w:r>
      <w:r w:rsidR="007B72F2">
        <w:rPr>
          <w:rFonts w:ascii="Garamond" w:hAnsi="Garamond"/>
          <w:b/>
          <w:sz w:val="24"/>
          <w:szCs w:val="24"/>
        </w:rPr>
        <w:t>wth rates for respective years (1963 – 2014)</w:t>
      </w:r>
    </w:p>
    <w:tbl>
      <w:tblPr>
        <w:tblW w:w="10144" w:type="dxa"/>
        <w:tblInd w:w="-5" w:type="dxa"/>
        <w:tblLook w:val="04A0" w:firstRow="1" w:lastRow="0" w:firstColumn="1" w:lastColumn="0" w:noHBand="0" w:noVBand="1"/>
      </w:tblPr>
      <w:tblGrid>
        <w:gridCol w:w="1587"/>
        <w:gridCol w:w="608"/>
        <w:gridCol w:w="276"/>
        <w:gridCol w:w="509"/>
        <w:gridCol w:w="1288"/>
        <w:gridCol w:w="708"/>
        <w:gridCol w:w="269"/>
        <w:gridCol w:w="434"/>
        <w:gridCol w:w="1683"/>
        <w:gridCol w:w="1548"/>
        <w:gridCol w:w="1234"/>
      </w:tblGrid>
      <w:tr w:rsidR="00CF723D" w:rsidRPr="00B8299F" w:rsidTr="00AD1E4C">
        <w:trPr>
          <w:trHeight w:val="312"/>
        </w:trPr>
        <w:tc>
          <w:tcPr>
            <w:tcW w:w="2195" w:type="dxa"/>
            <w:gridSpan w:val="2"/>
            <w:vMerge w:val="restart"/>
            <w:tcBorders>
              <w:top w:val="single" w:sz="4" w:space="0" w:color="auto"/>
              <w:left w:val="single" w:sz="4" w:space="0" w:color="auto"/>
              <w:bottom w:val="nil"/>
              <w:right w:val="nil"/>
            </w:tcBorders>
            <w:shd w:val="clear" w:color="000000" w:fill="FFFFFF"/>
            <w:vAlign w:val="bottom"/>
            <w:hideMark/>
          </w:tcPr>
          <w:p w:rsidR="00CF723D" w:rsidRPr="00995C47" w:rsidRDefault="00CF723D" w:rsidP="00AD1E4C">
            <w:pPr>
              <w:pStyle w:val="ListParagraph"/>
              <w:numPr>
                <w:ilvl w:val="0"/>
                <w:numId w:val="1"/>
              </w:numPr>
              <w:spacing w:after="0" w:line="240" w:lineRule="auto"/>
              <w:ind w:left="342" w:hanging="342"/>
              <w:jc w:val="both"/>
              <w:rPr>
                <w:rFonts w:ascii="Garamond" w:eastAsia="Times New Roman" w:hAnsi="Garamond" w:cs="Times New Roman"/>
                <w:b/>
                <w:color w:val="000000"/>
                <w:sz w:val="18"/>
                <w:szCs w:val="18"/>
              </w:rPr>
            </w:pPr>
            <w:r w:rsidRPr="00995C47">
              <w:rPr>
                <w:rFonts w:ascii="Garamond" w:eastAsia="Times New Roman" w:hAnsi="Garamond" w:cs="Times New Roman"/>
                <w:b/>
                <w:color w:val="000000"/>
                <w:sz w:val="18"/>
                <w:szCs w:val="18"/>
              </w:rPr>
              <w:t>Years with the highest growth rates in a series</w:t>
            </w:r>
            <w:r w:rsidR="00AD1E4C" w:rsidRPr="00995C47">
              <w:rPr>
                <w:rFonts w:ascii="Garamond" w:eastAsia="Times New Roman" w:hAnsi="Garamond" w:cs="Times New Roman"/>
                <w:b/>
                <w:color w:val="000000"/>
                <w:sz w:val="18"/>
                <w:szCs w:val="18"/>
              </w:rPr>
              <w:t xml:space="preserve"> (</w:t>
            </w:r>
            <w:r w:rsidR="005E6090">
              <w:rPr>
                <w:rFonts w:ascii="Garamond" w:eastAsia="Times New Roman" w:hAnsi="Garamond" w:cs="Times New Roman"/>
                <w:b/>
                <w:color w:val="000000"/>
                <w:sz w:val="18"/>
                <w:szCs w:val="18"/>
              </w:rPr>
              <w:t xml:space="preserve">i.e. the </w:t>
            </w:r>
            <w:r w:rsidR="00AD1E4C" w:rsidRPr="00995C47">
              <w:rPr>
                <w:rFonts w:ascii="Garamond" w:eastAsia="Times New Roman" w:hAnsi="Garamond" w:cs="Times New Roman"/>
                <w:b/>
                <w:color w:val="000000"/>
                <w:sz w:val="18"/>
                <w:szCs w:val="18"/>
              </w:rPr>
              <w:t>peaks</w:t>
            </w:r>
            <w:r w:rsidR="005E6090">
              <w:rPr>
                <w:rFonts w:ascii="Garamond" w:eastAsia="Times New Roman" w:hAnsi="Garamond" w:cs="Times New Roman"/>
                <w:b/>
                <w:color w:val="000000"/>
                <w:sz w:val="18"/>
                <w:szCs w:val="18"/>
              </w:rPr>
              <w:t>- in C</w:t>
            </w:r>
            <w:r w:rsidR="00415DCB" w:rsidRPr="00995C47">
              <w:rPr>
                <w:rFonts w:ascii="Garamond" w:eastAsia="Times New Roman" w:hAnsi="Garamond" w:cs="Times New Roman"/>
                <w:b/>
                <w:color w:val="000000"/>
                <w:sz w:val="18"/>
                <w:szCs w:val="18"/>
              </w:rPr>
              <w:t>hart</w:t>
            </w:r>
            <w:r w:rsidR="005E6090">
              <w:rPr>
                <w:rFonts w:ascii="Garamond" w:eastAsia="Times New Roman" w:hAnsi="Garamond" w:cs="Times New Roman"/>
                <w:b/>
                <w:color w:val="000000"/>
                <w:sz w:val="18"/>
                <w:szCs w:val="18"/>
              </w:rPr>
              <w:t xml:space="preserve"> 1</w:t>
            </w:r>
            <w:r w:rsidR="00AD1E4C" w:rsidRPr="00995C47">
              <w:rPr>
                <w:rFonts w:ascii="Garamond" w:eastAsia="Times New Roman" w:hAnsi="Garamond" w:cs="Times New Roman"/>
                <w:b/>
                <w:color w:val="000000"/>
                <w:sz w:val="18"/>
                <w:szCs w:val="18"/>
              </w:rPr>
              <w:t>)</w:t>
            </w:r>
          </w:p>
        </w:tc>
        <w:tc>
          <w:tcPr>
            <w:tcW w:w="276" w:type="dxa"/>
            <w:tcBorders>
              <w:top w:val="single" w:sz="4" w:space="0" w:color="auto"/>
              <w:left w:val="nil"/>
              <w:bottom w:val="nil"/>
              <w:right w:val="single" w:sz="4" w:space="0" w:color="auto"/>
            </w:tcBorders>
            <w:shd w:val="clear" w:color="000000" w:fill="FFFFFF"/>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265" w:type="dxa"/>
            <w:gridSpan w:val="3"/>
            <w:vMerge w:val="restart"/>
            <w:tcBorders>
              <w:top w:val="single" w:sz="4" w:space="0" w:color="auto"/>
              <w:left w:val="single" w:sz="4" w:space="0" w:color="auto"/>
              <w:bottom w:val="nil"/>
              <w:right w:val="single" w:sz="4" w:space="0" w:color="000000"/>
            </w:tcBorders>
            <w:shd w:val="clear" w:color="000000" w:fill="FFFFFF"/>
            <w:vAlign w:val="bottom"/>
            <w:hideMark/>
          </w:tcPr>
          <w:p w:rsidR="00CF723D" w:rsidRPr="00995C47" w:rsidRDefault="00CF723D" w:rsidP="005E6090">
            <w:pPr>
              <w:pStyle w:val="ListParagraph"/>
              <w:numPr>
                <w:ilvl w:val="0"/>
                <w:numId w:val="1"/>
              </w:numPr>
              <w:spacing w:after="0" w:line="240" w:lineRule="auto"/>
              <w:ind w:left="307" w:hanging="270"/>
              <w:jc w:val="both"/>
              <w:rPr>
                <w:rFonts w:ascii="Garamond" w:eastAsia="Times New Roman" w:hAnsi="Garamond" w:cs="Times New Roman"/>
                <w:b/>
                <w:color w:val="000000"/>
                <w:sz w:val="18"/>
                <w:szCs w:val="18"/>
              </w:rPr>
            </w:pPr>
            <w:r w:rsidRPr="00995C47">
              <w:rPr>
                <w:rFonts w:ascii="Garamond" w:eastAsia="Times New Roman" w:hAnsi="Garamond" w:cs="Times New Roman"/>
                <w:b/>
                <w:color w:val="000000"/>
                <w:sz w:val="18"/>
                <w:szCs w:val="18"/>
              </w:rPr>
              <w:t>Years with the lowest growth rates in a series</w:t>
            </w:r>
            <w:r w:rsidR="00AD1E4C" w:rsidRPr="00995C47">
              <w:rPr>
                <w:rFonts w:ascii="Garamond" w:eastAsia="Times New Roman" w:hAnsi="Garamond" w:cs="Times New Roman"/>
                <w:b/>
                <w:color w:val="000000"/>
                <w:sz w:val="18"/>
                <w:szCs w:val="18"/>
              </w:rPr>
              <w:t xml:space="preserve"> (</w:t>
            </w:r>
            <w:r w:rsidR="005E6090">
              <w:rPr>
                <w:rFonts w:ascii="Garamond" w:eastAsia="Times New Roman" w:hAnsi="Garamond" w:cs="Times New Roman"/>
                <w:b/>
                <w:color w:val="000000"/>
                <w:sz w:val="18"/>
                <w:szCs w:val="18"/>
              </w:rPr>
              <w:t xml:space="preserve">i.e. the </w:t>
            </w:r>
            <w:r w:rsidR="00AD1E4C" w:rsidRPr="00995C47">
              <w:rPr>
                <w:rFonts w:ascii="Garamond" w:eastAsia="Times New Roman" w:hAnsi="Garamond" w:cs="Times New Roman"/>
                <w:b/>
                <w:color w:val="000000"/>
                <w:sz w:val="18"/>
                <w:szCs w:val="18"/>
              </w:rPr>
              <w:t>troughs</w:t>
            </w:r>
            <w:r w:rsidR="005E6090">
              <w:rPr>
                <w:rFonts w:ascii="Garamond" w:eastAsia="Times New Roman" w:hAnsi="Garamond" w:cs="Times New Roman"/>
                <w:b/>
                <w:color w:val="000000"/>
                <w:sz w:val="18"/>
                <w:szCs w:val="18"/>
              </w:rPr>
              <w:t xml:space="preserve"> - in C</w:t>
            </w:r>
            <w:r w:rsidR="00415DCB" w:rsidRPr="00995C47">
              <w:rPr>
                <w:rFonts w:ascii="Garamond" w:eastAsia="Times New Roman" w:hAnsi="Garamond" w:cs="Times New Roman"/>
                <w:b/>
                <w:color w:val="000000"/>
                <w:sz w:val="18"/>
                <w:szCs w:val="18"/>
              </w:rPr>
              <w:t>hart</w:t>
            </w:r>
            <w:r w:rsidR="005E6090">
              <w:rPr>
                <w:rFonts w:ascii="Garamond" w:eastAsia="Times New Roman" w:hAnsi="Garamond" w:cs="Times New Roman"/>
                <w:b/>
                <w:color w:val="000000"/>
                <w:sz w:val="18"/>
                <w:szCs w:val="18"/>
              </w:rPr>
              <w:t xml:space="preserve"> 1</w:t>
            </w:r>
            <w:r w:rsidR="00AD1E4C" w:rsidRPr="00995C47">
              <w:rPr>
                <w:rFonts w:ascii="Garamond" w:eastAsia="Times New Roman" w:hAnsi="Garamond" w:cs="Times New Roman"/>
                <w:b/>
                <w:color w:val="000000"/>
                <w:sz w:val="18"/>
                <w:szCs w:val="18"/>
              </w:rPr>
              <w:t>)</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vMerge w:val="restart"/>
            <w:tcBorders>
              <w:top w:val="single" w:sz="4" w:space="0" w:color="auto"/>
              <w:left w:val="single" w:sz="4" w:space="0" w:color="auto"/>
              <w:bottom w:val="nil"/>
              <w:right w:val="nil"/>
            </w:tcBorders>
            <w:shd w:val="clear" w:color="000000" w:fill="FFFFFF"/>
            <w:vAlign w:val="bottom"/>
            <w:hideMark/>
          </w:tcPr>
          <w:p w:rsidR="00CF723D" w:rsidRPr="00995C47" w:rsidRDefault="00AD1E4C" w:rsidP="00AD1E4C">
            <w:pPr>
              <w:pStyle w:val="ListParagraph"/>
              <w:numPr>
                <w:ilvl w:val="0"/>
                <w:numId w:val="1"/>
              </w:numPr>
              <w:spacing w:after="0" w:line="240" w:lineRule="auto"/>
              <w:ind w:left="270" w:hanging="270"/>
              <w:jc w:val="both"/>
              <w:rPr>
                <w:rFonts w:ascii="Garamond" w:eastAsia="Times New Roman" w:hAnsi="Garamond" w:cs="Times New Roman"/>
                <w:b/>
                <w:color w:val="000000"/>
                <w:sz w:val="18"/>
                <w:szCs w:val="18"/>
              </w:rPr>
            </w:pPr>
            <w:r w:rsidRPr="00CF723D">
              <w:rPr>
                <w:rFonts w:ascii="Garamond" w:eastAsia="Times New Roman" w:hAnsi="Garamond" w:cs="Times New Roman"/>
                <w:b/>
                <w:color w:val="000000"/>
                <w:sz w:val="18"/>
                <w:szCs w:val="18"/>
              </w:rPr>
              <w:t>Growth rates on Election years</w:t>
            </w:r>
            <w:r w:rsidRPr="00995C47">
              <w:rPr>
                <w:rFonts w:ascii="Garamond" w:eastAsia="Times New Roman" w:hAnsi="Garamond" w:cs="Times New Roman"/>
                <w:b/>
                <w:color w:val="000000"/>
                <w:sz w:val="18"/>
                <w:szCs w:val="18"/>
              </w:rPr>
              <w:t xml:space="preserve"> </w:t>
            </w:r>
          </w:p>
        </w:tc>
        <w:tc>
          <w:tcPr>
            <w:tcW w:w="1234" w:type="dxa"/>
            <w:vMerge w:val="restart"/>
            <w:tcBorders>
              <w:top w:val="single" w:sz="4" w:space="0" w:color="auto"/>
              <w:left w:val="nil"/>
              <w:bottom w:val="nil"/>
              <w:right w:val="single" w:sz="4" w:space="0" w:color="auto"/>
            </w:tcBorders>
            <w:shd w:val="clear" w:color="000000" w:fill="FFFFFF"/>
            <w:vAlign w:val="bottom"/>
            <w:hideMark/>
          </w:tcPr>
          <w:p w:rsidR="00CF723D" w:rsidRPr="00CF723D" w:rsidRDefault="00AD1E4C" w:rsidP="00E42474">
            <w:pPr>
              <w:spacing w:after="0" w:line="240" w:lineRule="auto"/>
              <w:jc w:val="both"/>
              <w:rPr>
                <w:rFonts w:ascii="Garamond" w:eastAsia="Times New Roman" w:hAnsi="Garamond" w:cs="Times New Roman"/>
                <w:color w:val="000000"/>
                <w:sz w:val="18"/>
                <w:szCs w:val="18"/>
              </w:rPr>
            </w:pPr>
            <w:r>
              <w:rPr>
                <w:rFonts w:ascii="Garamond" w:eastAsia="Times New Roman" w:hAnsi="Garamond" w:cs="Times New Roman"/>
                <w:color w:val="000000"/>
                <w:sz w:val="18"/>
                <w:szCs w:val="18"/>
              </w:rPr>
              <w:t>%</w:t>
            </w:r>
          </w:p>
        </w:tc>
      </w:tr>
      <w:tr w:rsidR="00CF723D" w:rsidRPr="00B8299F" w:rsidTr="00995C47">
        <w:trPr>
          <w:trHeight w:val="251"/>
        </w:trPr>
        <w:tc>
          <w:tcPr>
            <w:tcW w:w="2195" w:type="dxa"/>
            <w:gridSpan w:val="2"/>
            <w:vMerge/>
            <w:tcBorders>
              <w:top w:val="single" w:sz="4" w:space="0" w:color="auto"/>
              <w:left w:val="single" w:sz="4" w:space="0" w:color="auto"/>
              <w:bottom w:val="nil"/>
              <w:right w:val="nil"/>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265" w:type="dxa"/>
            <w:gridSpan w:val="3"/>
            <w:vMerge/>
            <w:tcBorders>
              <w:top w:val="nil"/>
              <w:left w:val="nil"/>
              <w:bottom w:val="nil"/>
              <w:right w:val="nil"/>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vMerge/>
            <w:tcBorders>
              <w:top w:val="single" w:sz="4" w:space="0" w:color="auto"/>
              <w:left w:val="single" w:sz="4" w:space="0" w:color="auto"/>
              <w:bottom w:val="nil"/>
              <w:right w:val="nil"/>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c>
          <w:tcPr>
            <w:tcW w:w="1234" w:type="dxa"/>
            <w:vMerge/>
            <w:tcBorders>
              <w:top w:val="single" w:sz="4" w:space="0" w:color="auto"/>
              <w:left w:val="nil"/>
              <w:bottom w:val="nil"/>
              <w:right w:val="single" w:sz="4" w:space="0" w:color="auto"/>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r>
      <w:tr w:rsidR="00CF723D" w:rsidRPr="00B8299F" w:rsidTr="00AD1E4C">
        <w:trPr>
          <w:trHeight w:val="312"/>
        </w:trPr>
        <w:tc>
          <w:tcPr>
            <w:tcW w:w="2195" w:type="dxa"/>
            <w:gridSpan w:val="2"/>
            <w:vMerge/>
            <w:tcBorders>
              <w:top w:val="single" w:sz="4" w:space="0" w:color="auto"/>
              <w:left w:val="single" w:sz="4" w:space="0" w:color="auto"/>
              <w:bottom w:val="nil"/>
              <w:right w:val="nil"/>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265" w:type="dxa"/>
            <w:gridSpan w:val="3"/>
            <w:vMerge/>
            <w:tcBorders>
              <w:top w:val="nil"/>
              <w:left w:val="nil"/>
              <w:bottom w:val="nil"/>
              <w:right w:val="nil"/>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34" w:type="dxa"/>
            <w:vMerge/>
            <w:tcBorders>
              <w:top w:val="single" w:sz="4" w:space="0" w:color="auto"/>
              <w:left w:val="nil"/>
              <w:bottom w:val="nil"/>
              <w:right w:val="single" w:sz="4" w:space="0" w:color="auto"/>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Single party</w:t>
            </w:r>
            <w:r w:rsidR="00B8299F">
              <w:rPr>
                <w:rFonts w:ascii="Garamond" w:eastAsia="Times New Roman" w:hAnsi="Garamond" w:cs="Times New Roman"/>
                <w:color w:val="000000"/>
                <w:sz w:val="18"/>
                <w:szCs w:val="18"/>
              </w:rPr>
              <w:t xml:space="preserve"> period</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34" w:type="dxa"/>
            <w:vMerge/>
            <w:tcBorders>
              <w:top w:val="single" w:sz="4" w:space="0" w:color="auto"/>
              <w:left w:val="nil"/>
              <w:bottom w:val="nil"/>
              <w:right w:val="single" w:sz="4" w:space="0" w:color="auto"/>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1963</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8.78</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1965</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2.01</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ind w:right="-108"/>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1969</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7.96</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1966</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14.73</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1967</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3.36</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1974</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4.07</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1968</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7.98</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1970</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-4.66</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1979</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7.62</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B050"/>
                <w:sz w:val="18"/>
                <w:szCs w:val="18"/>
              </w:rPr>
            </w:pPr>
            <w:r w:rsidRPr="00CF723D">
              <w:rPr>
                <w:rFonts w:ascii="Garamond" w:eastAsia="Times New Roman" w:hAnsi="Garamond" w:cs="Times New Roman"/>
                <w:sz w:val="18"/>
                <w:szCs w:val="18"/>
              </w:rPr>
              <w:t>1969</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B050"/>
                <w:sz w:val="18"/>
                <w:szCs w:val="18"/>
              </w:rPr>
            </w:pPr>
            <w:r w:rsidRPr="00CF723D">
              <w:rPr>
                <w:rFonts w:ascii="Garamond" w:eastAsia="Times New Roman" w:hAnsi="Garamond" w:cs="Times New Roman"/>
                <w:sz w:val="18"/>
                <w:szCs w:val="18"/>
              </w:rPr>
              <w:t>7.96</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1975</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0.88</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1983</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1.31</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1971</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22.17</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1978</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6.91</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1988</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6.20</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1977</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9.45</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1983</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1.31</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vMerge w:val="restart"/>
            <w:tcBorders>
              <w:top w:val="single" w:sz="4" w:space="0" w:color="auto"/>
              <w:left w:val="single" w:sz="4" w:space="0" w:color="auto"/>
              <w:bottom w:val="single" w:sz="4" w:space="0" w:color="000000"/>
              <w:right w:val="nil"/>
            </w:tcBorders>
            <w:shd w:val="clear" w:color="000000" w:fill="FFFFFF"/>
            <w:hideMark/>
          </w:tcPr>
          <w:p w:rsidR="00CF723D" w:rsidRPr="00CF723D" w:rsidRDefault="00E5352C" w:rsidP="00E42474">
            <w:pPr>
              <w:spacing w:after="0" w:line="240" w:lineRule="auto"/>
              <w:jc w:val="both"/>
              <w:rPr>
                <w:rFonts w:ascii="Garamond" w:eastAsia="Times New Roman" w:hAnsi="Garamond" w:cs="Times New Roman"/>
                <w:color w:val="000000"/>
                <w:sz w:val="18"/>
                <w:szCs w:val="18"/>
              </w:rPr>
            </w:pPr>
            <w:r>
              <w:rPr>
                <w:rFonts w:ascii="Garamond" w:eastAsia="Times New Roman" w:hAnsi="Garamond" w:cs="Times New Roman"/>
                <w:color w:val="000000"/>
                <w:sz w:val="18"/>
                <w:szCs w:val="18"/>
              </w:rPr>
              <w:t>a</w:t>
            </w:r>
            <w:r w:rsidR="00E42474">
              <w:rPr>
                <w:rFonts w:ascii="Garamond" w:eastAsia="Times New Roman" w:hAnsi="Garamond" w:cs="Times New Roman"/>
                <w:color w:val="000000"/>
                <w:sz w:val="18"/>
                <w:szCs w:val="18"/>
              </w:rPr>
              <w:t xml:space="preserve">verage </w:t>
            </w:r>
          </w:p>
        </w:tc>
        <w:tc>
          <w:tcPr>
            <w:tcW w:w="1234" w:type="dxa"/>
            <w:vMerge w:val="restart"/>
            <w:tcBorders>
              <w:top w:val="single" w:sz="4" w:space="0" w:color="auto"/>
              <w:left w:val="nil"/>
              <w:bottom w:val="single" w:sz="4" w:space="0" w:color="000000"/>
              <w:right w:val="single" w:sz="4" w:space="0" w:color="auto"/>
            </w:tcBorders>
            <w:shd w:val="clear" w:color="000000" w:fill="FFFFFF"/>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5.43</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1979</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7.62</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1992</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-0.80</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vMerge/>
            <w:tcBorders>
              <w:top w:val="single" w:sz="4" w:space="0" w:color="auto"/>
              <w:left w:val="single" w:sz="4" w:space="0" w:color="auto"/>
              <w:bottom w:val="single" w:sz="4" w:space="0" w:color="000000"/>
              <w:right w:val="nil"/>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c>
          <w:tcPr>
            <w:tcW w:w="1234" w:type="dxa"/>
            <w:vMerge/>
            <w:tcBorders>
              <w:top w:val="single" w:sz="4" w:space="0" w:color="auto"/>
              <w:left w:val="nil"/>
              <w:bottom w:val="single" w:sz="4" w:space="0" w:color="000000"/>
              <w:right w:val="single" w:sz="4" w:space="0" w:color="auto"/>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1986</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7.18</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1997</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0.47</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34" w:type="dxa"/>
            <w:tcBorders>
              <w:top w:val="nil"/>
              <w:left w:val="nil"/>
              <w:bottom w:val="nil"/>
              <w:right w:val="nil"/>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1988</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6.20</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2000</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0.60</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single" w:sz="4" w:space="0" w:color="auto"/>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34" w:type="dxa"/>
            <w:tcBorders>
              <w:top w:val="single" w:sz="4" w:space="0" w:color="auto"/>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r w:rsidR="00AD1E4C">
              <w:rPr>
                <w:rFonts w:ascii="Garamond" w:eastAsia="Times New Roman" w:hAnsi="Garamond" w:cs="Times New Roman"/>
                <w:color w:val="000000"/>
                <w:sz w:val="18"/>
                <w:szCs w:val="18"/>
              </w:rPr>
              <w:t>%</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1990</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4.19</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2002</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0.55</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1992</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-0.80</w:t>
            </w:r>
          </w:p>
        </w:tc>
      </w:tr>
      <w:tr w:rsidR="00CF723D" w:rsidRPr="00B8299F" w:rsidTr="00AD1E4C">
        <w:trPr>
          <w:trHeight w:val="312"/>
        </w:trPr>
        <w:tc>
          <w:tcPr>
            <w:tcW w:w="1587"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1995</w:t>
            </w:r>
          </w:p>
        </w:tc>
        <w:tc>
          <w:tcPr>
            <w:tcW w:w="6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4.41</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2008</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0.23</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E5352C" w:rsidP="00E42474">
            <w:pPr>
              <w:spacing w:after="0" w:line="240" w:lineRule="auto"/>
              <w:jc w:val="both"/>
              <w:rPr>
                <w:rFonts w:ascii="Garamond" w:eastAsia="Times New Roman" w:hAnsi="Garamond" w:cs="Times New Roman"/>
                <w:color w:val="000000"/>
                <w:sz w:val="18"/>
                <w:szCs w:val="18"/>
              </w:rPr>
            </w:pPr>
            <w:r>
              <w:rPr>
                <w:rFonts w:ascii="Garamond" w:eastAsia="Times New Roman" w:hAnsi="Garamond" w:cs="Times New Roman"/>
                <w:color w:val="000000"/>
                <w:sz w:val="18"/>
                <w:szCs w:val="18"/>
              </w:rPr>
              <w:t>Multi-</w:t>
            </w:r>
            <w:r w:rsidR="00CF723D" w:rsidRPr="00CF723D">
              <w:rPr>
                <w:rFonts w:ascii="Garamond" w:eastAsia="Times New Roman" w:hAnsi="Garamond" w:cs="Times New Roman"/>
                <w:color w:val="000000"/>
                <w:sz w:val="18"/>
                <w:szCs w:val="18"/>
              </w:rPr>
              <w:t>party</w:t>
            </w:r>
            <w:r w:rsidR="00B8299F">
              <w:rPr>
                <w:rFonts w:ascii="Garamond" w:eastAsia="Times New Roman" w:hAnsi="Garamond" w:cs="Times New Roman"/>
                <w:color w:val="000000"/>
                <w:sz w:val="18"/>
                <w:szCs w:val="18"/>
              </w:rPr>
              <w:t xml:space="preserve"> period</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1997</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0.47</w:t>
            </w:r>
          </w:p>
        </w:tc>
      </w:tr>
      <w:tr w:rsidR="00CF723D" w:rsidRPr="00B8299F" w:rsidTr="00AD1E4C">
        <w:trPr>
          <w:trHeight w:val="312"/>
        </w:trPr>
        <w:tc>
          <w:tcPr>
            <w:tcW w:w="1587"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1998</w:t>
            </w:r>
          </w:p>
        </w:tc>
        <w:tc>
          <w:tcPr>
            <w:tcW w:w="60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3.29</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2012</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4.55</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2002</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0.55</w:t>
            </w:r>
          </w:p>
        </w:tc>
      </w:tr>
      <w:tr w:rsidR="00CF723D" w:rsidRPr="00B8299F" w:rsidTr="00AD1E4C">
        <w:trPr>
          <w:trHeight w:val="312"/>
        </w:trPr>
        <w:tc>
          <w:tcPr>
            <w:tcW w:w="1587"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2001</w:t>
            </w:r>
          </w:p>
        </w:tc>
        <w:tc>
          <w:tcPr>
            <w:tcW w:w="60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3.78</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2007</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6.99</w:t>
            </w:r>
          </w:p>
        </w:tc>
      </w:tr>
      <w:tr w:rsidR="00CF723D" w:rsidRPr="00B8299F" w:rsidTr="00AD1E4C">
        <w:trPr>
          <w:trHeight w:val="312"/>
        </w:trPr>
        <w:tc>
          <w:tcPr>
            <w:tcW w:w="1587"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2007</w:t>
            </w:r>
          </w:p>
        </w:tc>
        <w:tc>
          <w:tcPr>
            <w:tcW w:w="60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6.99</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FF0000"/>
                <w:sz w:val="18"/>
                <w:szCs w:val="18"/>
              </w:rPr>
            </w:pPr>
            <w:r w:rsidRPr="00CF723D">
              <w:rPr>
                <w:rFonts w:ascii="Garamond" w:eastAsia="Times New Roman" w:hAnsi="Garamond" w:cs="Times New Roman"/>
                <w:sz w:val="18"/>
                <w:szCs w:val="18"/>
              </w:rPr>
              <w:t>2013</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5.69</w:t>
            </w:r>
          </w:p>
        </w:tc>
      </w:tr>
      <w:tr w:rsidR="00CF723D" w:rsidRPr="00B8299F" w:rsidTr="00AD1E4C">
        <w:trPr>
          <w:trHeight w:val="312"/>
        </w:trPr>
        <w:tc>
          <w:tcPr>
            <w:tcW w:w="1587"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2010</w:t>
            </w:r>
          </w:p>
        </w:tc>
        <w:tc>
          <w:tcPr>
            <w:tcW w:w="60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8.40</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34" w:type="dxa"/>
            <w:tcBorders>
              <w:top w:val="nil"/>
              <w:left w:val="single" w:sz="4" w:space="0" w:color="auto"/>
              <w:bottom w:val="nil"/>
              <w:right w:val="single" w:sz="4" w:space="0" w:color="auto"/>
            </w:tcBorders>
            <w:shd w:val="clear" w:color="000000" w:fill="FFFFFF"/>
            <w:noWrap/>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r>
      <w:tr w:rsidR="00CF723D" w:rsidRPr="00B8299F" w:rsidTr="00AD1E4C">
        <w:trPr>
          <w:trHeight w:val="312"/>
        </w:trPr>
        <w:tc>
          <w:tcPr>
            <w:tcW w:w="1587"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2013</w:t>
            </w:r>
          </w:p>
        </w:tc>
        <w:tc>
          <w:tcPr>
            <w:tcW w:w="608" w:type="dxa"/>
            <w:tcBorders>
              <w:top w:val="nil"/>
              <w:left w:val="single" w:sz="4" w:space="0" w:color="auto"/>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5.69</w:t>
            </w:r>
          </w:p>
        </w:tc>
        <w:tc>
          <w:tcPr>
            <w:tcW w:w="276"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708"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69"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vMerge w:val="restart"/>
            <w:tcBorders>
              <w:top w:val="nil"/>
              <w:left w:val="single" w:sz="4" w:space="0" w:color="auto"/>
              <w:bottom w:val="single" w:sz="4" w:space="0" w:color="000000"/>
              <w:right w:val="nil"/>
            </w:tcBorders>
            <w:shd w:val="clear" w:color="000000" w:fill="FFFFFF"/>
            <w:vAlign w:val="bottom"/>
            <w:hideMark/>
          </w:tcPr>
          <w:p w:rsidR="00CF723D" w:rsidRPr="00CF723D" w:rsidRDefault="00E5352C" w:rsidP="00E42474">
            <w:pPr>
              <w:spacing w:after="0" w:line="240" w:lineRule="auto"/>
              <w:jc w:val="both"/>
              <w:rPr>
                <w:rFonts w:ascii="Garamond" w:eastAsia="Times New Roman" w:hAnsi="Garamond" w:cs="Times New Roman"/>
                <w:color w:val="000000"/>
                <w:sz w:val="18"/>
                <w:szCs w:val="18"/>
              </w:rPr>
            </w:pPr>
            <w:r>
              <w:rPr>
                <w:rFonts w:ascii="Garamond" w:eastAsia="Times New Roman" w:hAnsi="Garamond" w:cs="Times New Roman"/>
                <w:color w:val="000000"/>
                <w:sz w:val="18"/>
                <w:szCs w:val="18"/>
              </w:rPr>
              <w:t>a</w:t>
            </w:r>
            <w:r w:rsidR="00E42474">
              <w:rPr>
                <w:rFonts w:ascii="Garamond" w:eastAsia="Times New Roman" w:hAnsi="Garamond" w:cs="Times New Roman"/>
                <w:color w:val="000000"/>
                <w:sz w:val="18"/>
                <w:szCs w:val="18"/>
              </w:rPr>
              <w:t>verage</w:t>
            </w:r>
          </w:p>
        </w:tc>
        <w:tc>
          <w:tcPr>
            <w:tcW w:w="1234" w:type="dxa"/>
            <w:tcBorders>
              <w:top w:val="nil"/>
              <w:left w:val="nil"/>
              <w:bottom w:val="nil"/>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r>
      <w:tr w:rsidR="00CF723D" w:rsidRPr="00B8299F" w:rsidTr="00AD1E4C">
        <w:trPr>
          <w:trHeight w:val="312"/>
        </w:trPr>
        <w:tc>
          <w:tcPr>
            <w:tcW w:w="1587" w:type="dxa"/>
            <w:tcBorders>
              <w:top w:val="nil"/>
              <w:left w:val="single" w:sz="4" w:space="0" w:color="auto"/>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608" w:type="dxa"/>
            <w:tcBorders>
              <w:top w:val="nil"/>
              <w:left w:val="nil"/>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76" w:type="dxa"/>
            <w:tcBorders>
              <w:top w:val="nil"/>
              <w:left w:val="nil"/>
              <w:bottom w:val="single" w:sz="4" w:space="0" w:color="auto"/>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708" w:type="dxa"/>
            <w:tcBorders>
              <w:top w:val="nil"/>
              <w:left w:val="nil"/>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269" w:type="dxa"/>
            <w:tcBorders>
              <w:top w:val="nil"/>
              <w:left w:val="nil"/>
              <w:bottom w:val="single" w:sz="4" w:space="0" w:color="auto"/>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vMerge/>
            <w:tcBorders>
              <w:top w:val="nil"/>
              <w:left w:val="single" w:sz="4" w:space="0" w:color="auto"/>
              <w:bottom w:val="single" w:sz="4" w:space="0" w:color="000000"/>
              <w:right w:val="nil"/>
            </w:tcBorders>
            <w:vAlign w:val="center"/>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p>
        </w:tc>
        <w:tc>
          <w:tcPr>
            <w:tcW w:w="1234" w:type="dxa"/>
            <w:tcBorders>
              <w:top w:val="nil"/>
              <w:left w:val="nil"/>
              <w:bottom w:val="nil"/>
              <w:right w:val="single" w:sz="4" w:space="0" w:color="auto"/>
            </w:tcBorders>
            <w:shd w:val="clear" w:color="000000" w:fill="FFFFFF"/>
            <w:noWrap/>
            <w:vAlign w:val="bottom"/>
            <w:hideMark/>
          </w:tcPr>
          <w:p w:rsidR="00CF723D" w:rsidRPr="00CF723D" w:rsidRDefault="00E42474"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2.58</w:t>
            </w:r>
          </w:p>
        </w:tc>
      </w:tr>
      <w:tr w:rsidR="00CF723D" w:rsidRPr="00B8299F" w:rsidTr="00AD1E4C">
        <w:trPr>
          <w:trHeight w:val="312"/>
        </w:trPr>
        <w:tc>
          <w:tcPr>
            <w:tcW w:w="1587" w:type="dxa"/>
            <w:tcBorders>
              <w:top w:val="nil"/>
              <w:left w:val="single" w:sz="4" w:space="0" w:color="auto"/>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average</w:t>
            </w:r>
          </w:p>
        </w:tc>
        <w:tc>
          <w:tcPr>
            <w:tcW w:w="608" w:type="dxa"/>
            <w:tcBorders>
              <w:top w:val="nil"/>
              <w:left w:val="nil"/>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8.05</w:t>
            </w:r>
          </w:p>
        </w:tc>
        <w:tc>
          <w:tcPr>
            <w:tcW w:w="276" w:type="dxa"/>
            <w:tcBorders>
              <w:top w:val="nil"/>
              <w:left w:val="nil"/>
              <w:bottom w:val="single" w:sz="4" w:space="0" w:color="auto"/>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509"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88" w:type="dxa"/>
            <w:tcBorders>
              <w:top w:val="nil"/>
              <w:left w:val="single" w:sz="4" w:space="0" w:color="auto"/>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average</w:t>
            </w:r>
          </w:p>
        </w:tc>
        <w:tc>
          <w:tcPr>
            <w:tcW w:w="708" w:type="dxa"/>
            <w:tcBorders>
              <w:top w:val="nil"/>
              <w:left w:val="nil"/>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1.29</w:t>
            </w:r>
          </w:p>
        </w:tc>
        <w:tc>
          <w:tcPr>
            <w:tcW w:w="269" w:type="dxa"/>
            <w:tcBorders>
              <w:top w:val="nil"/>
              <w:left w:val="nil"/>
              <w:bottom w:val="single" w:sz="4" w:space="0" w:color="auto"/>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434"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683" w:type="dxa"/>
            <w:tcBorders>
              <w:top w:val="nil"/>
              <w:left w:val="nil"/>
              <w:bottom w:val="nil"/>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548" w:type="dxa"/>
            <w:tcBorders>
              <w:top w:val="nil"/>
              <w:left w:val="single" w:sz="4" w:space="0" w:color="auto"/>
              <w:bottom w:val="single" w:sz="4" w:space="0" w:color="auto"/>
              <w:right w:val="nil"/>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c>
          <w:tcPr>
            <w:tcW w:w="1234" w:type="dxa"/>
            <w:tcBorders>
              <w:top w:val="single" w:sz="4" w:space="0" w:color="auto"/>
              <w:left w:val="nil"/>
              <w:bottom w:val="single" w:sz="4" w:space="0" w:color="auto"/>
              <w:right w:val="single" w:sz="4" w:space="0" w:color="auto"/>
            </w:tcBorders>
            <w:shd w:val="clear" w:color="000000" w:fill="FFFFFF"/>
            <w:noWrap/>
            <w:vAlign w:val="bottom"/>
            <w:hideMark/>
          </w:tcPr>
          <w:p w:rsidR="00CF723D" w:rsidRPr="00CF723D" w:rsidRDefault="00CF723D" w:rsidP="00E42474">
            <w:pPr>
              <w:spacing w:after="0" w:line="240" w:lineRule="auto"/>
              <w:jc w:val="both"/>
              <w:rPr>
                <w:rFonts w:ascii="Garamond" w:eastAsia="Times New Roman" w:hAnsi="Garamond" w:cs="Times New Roman"/>
                <w:color w:val="000000"/>
                <w:sz w:val="18"/>
                <w:szCs w:val="18"/>
              </w:rPr>
            </w:pPr>
            <w:r w:rsidRPr="00CF723D">
              <w:rPr>
                <w:rFonts w:ascii="Garamond" w:eastAsia="Times New Roman" w:hAnsi="Garamond" w:cs="Times New Roman"/>
                <w:color w:val="000000"/>
                <w:sz w:val="18"/>
                <w:szCs w:val="18"/>
              </w:rPr>
              <w:t> </w:t>
            </w:r>
          </w:p>
        </w:tc>
      </w:tr>
    </w:tbl>
    <w:p w:rsidR="00B97535" w:rsidRPr="00B97535" w:rsidRDefault="00AD1E4C" w:rsidP="00E42474">
      <w:pPr>
        <w:spacing w:line="240" w:lineRule="auto"/>
        <w:contextualSpacing/>
        <w:jc w:val="both"/>
        <w:rPr>
          <w:rFonts w:ascii="Garamond" w:hAnsi="Garamond"/>
          <w:b/>
          <w:i/>
          <w:sz w:val="20"/>
          <w:szCs w:val="20"/>
        </w:rPr>
      </w:pPr>
      <w:r w:rsidRPr="00B97535">
        <w:rPr>
          <w:rFonts w:ascii="Garamond" w:hAnsi="Garamond"/>
          <w:b/>
          <w:i/>
          <w:sz w:val="20"/>
          <w:szCs w:val="20"/>
        </w:rPr>
        <w:t xml:space="preserve">Source: World Bank </w:t>
      </w:r>
    </w:p>
    <w:p w:rsidR="00AD1E4C" w:rsidRDefault="00B97535" w:rsidP="00E42474">
      <w:pPr>
        <w:spacing w:line="240" w:lineRule="auto"/>
        <w:contextualSpacing/>
        <w:jc w:val="both"/>
        <w:rPr>
          <w:rFonts w:ascii="Garamond" w:hAnsi="Garamond"/>
          <w:b/>
          <w:sz w:val="20"/>
          <w:szCs w:val="20"/>
        </w:rPr>
      </w:pPr>
      <w:r>
        <w:rPr>
          <w:rFonts w:ascii="Garamond" w:hAnsi="Garamond"/>
          <w:b/>
          <w:sz w:val="20"/>
          <w:szCs w:val="20"/>
        </w:rPr>
        <w:t>Note: The v</w:t>
      </w:r>
      <w:r w:rsidRPr="00AD1E4C">
        <w:rPr>
          <w:rFonts w:ascii="Garamond" w:hAnsi="Garamond"/>
          <w:b/>
          <w:sz w:val="20"/>
          <w:szCs w:val="20"/>
        </w:rPr>
        <w:t>alues</w:t>
      </w:r>
      <w:r>
        <w:rPr>
          <w:rFonts w:ascii="Garamond" w:hAnsi="Garamond"/>
          <w:b/>
          <w:sz w:val="20"/>
          <w:szCs w:val="20"/>
        </w:rPr>
        <w:t xml:space="preserve"> </w:t>
      </w:r>
      <w:r w:rsidRPr="00AD1E4C">
        <w:rPr>
          <w:rFonts w:ascii="Garamond" w:hAnsi="Garamond"/>
          <w:b/>
          <w:sz w:val="20"/>
          <w:szCs w:val="20"/>
        </w:rPr>
        <w:t>used</w:t>
      </w:r>
      <w:r>
        <w:rPr>
          <w:rFonts w:ascii="Garamond" w:hAnsi="Garamond"/>
          <w:b/>
          <w:sz w:val="20"/>
          <w:szCs w:val="20"/>
        </w:rPr>
        <w:t xml:space="preserve"> in t</w:t>
      </w:r>
      <w:r w:rsidR="00AD1E4C" w:rsidRPr="00AD1E4C">
        <w:rPr>
          <w:rFonts w:ascii="Garamond" w:hAnsi="Garamond"/>
          <w:b/>
          <w:sz w:val="20"/>
          <w:szCs w:val="20"/>
        </w:rPr>
        <w:t xml:space="preserve">he </w:t>
      </w:r>
      <w:r>
        <w:rPr>
          <w:rFonts w:ascii="Garamond" w:hAnsi="Garamond"/>
          <w:b/>
          <w:sz w:val="20"/>
          <w:szCs w:val="20"/>
        </w:rPr>
        <w:t>table are the same values used in the Chart 1</w:t>
      </w:r>
      <w:r w:rsidR="00AD1E4C" w:rsidRPr="00AD1E4C">
        <w:rPr>
          <w:rFonts w:ascii="Garamond" w:hAnsi="Garamond"/>
          <w:b/>
          <w:sz w:val="20"/>
          <w:szCs w:val="20"/>
        </w:rPr>
        <w:t xml:space="preserve"> </w:t>
      </w:r>
      <w:r>
        <w:rPr>
          <w:rFonts w:ascii="Garamond" w:hAnsi="Garamond"/>
          <w:b/>
          <w:sz w:val="20"/>
          <w:szCs w:val="20"/>
        </w:rPr>
        <w:t>above</w:t>
      </w:r>
    </w:p>
    <w:p w:rsidR="00B97535" w:rsidRDefault="00B97535" w:rsidP="00E42474">
      <w:pPr>
        <w:spacing w:line="240" w:lineRule="auto"/>
        <w:contextualSpacing/>
        <w:jc w:val="both"/>
        <w:rPr>
          <w:rFonts w:ascii="Garamond" w:hAnsi="Garamond"/>
          <w:b/>
          <w:sz w:val="20"/>
          <w:szCs w:val="20"/>
        </w:rPr>
      </w:pPr>
    </w:p>
    <w:p w:rsidR="00995C47" w:rsidRDefault="00415DCB" w:rsidP="00A82956">
      <w:pPr>
        <w:spacing w:line="360" w:lineRule="auto"/>
        <w:jc w:val="both"/>
        <w:rPr>
          <w:rFonts w:ascii="Garamond" w:hAnsi="Garamond"/>
          <w:sz w:val="24"/>
          <w:szCs w:val="24"/>
        </w:rPr>
      </w:pPr>
      <w:r w:rsidRPr="00F440EA">
        <w:rPr>
          <w:rFonts w:ascii="Garamond" w:hAnsi="Garamond"/>
          <w:sz w:val="24"/>
          <w:szCs w:val="24"/>
        </w:rPr>
        <w:t>Table 1(a</w:t>
      </w:r>
      <w:r w:rsidR="00A82956" w:rsidRPr="00F440EA">
        <w:rPr>
          <w:rFonts w:ascii="Garamond" w:hAnsi="Garamond"/>
          <w:sz w:val="24"/>
          <w:szCs w:val="24"/>
        </w:rPr>
        <w:t>)</w:t>
      </w:r>
      <w:r w:rsidR="00D31471">
        <w:rPr>
          <w:rFonts w:ascii="Garamond" w:hAnsi="Garamond"/>
          <w:sz w:val="24"/>
          <w:szCs w:val="24"/>
        </w:rPr>
        <w:t xml:space="preserve"> lists</w:t>
      </w:r>
      <w:r w:rsidR="00A82956" w:rsidRPr="00F440EA">
        <w:rPr>
          <w:rFonts w:ascii="Garamond" w:hAnsi="Garamond"/>
          <w:sz w:val="24"/>
          <w:szCs w:val="24"/>
        </w:rPr>
        <w:t xml:space="preserve"> </w:t>
      </w:r>
      <w:r w:rsidR="009F0BB7">
        <w:rPr>
          <w:rFonts w:ascii="Garamond" w:hAnsi="Garamond"/>
          <w:sz w:val="24"/>
          <w:szCs w:val="24"/>
        </w:rPr>
        <w:t xml:space="preserve">all </w:t>
      </w:r>
      <w:r w:rsidR="00A82956" w:rsidRPr="00F440EA">
        <w:rPr>
          <w:rFonts w:ascii="Garamond" w:hAnsi="Garamond"/>
          <w:sz w:val="24"/>
          <w:szCs w:val="24"/>
        </w:rPr>
        <w:t>years</w:t>
      </w:r>
      <w:r w:rsidR="009F0BB7">
        <w:rPr>
          <w:rFonts w:ascii="Garamond" w:hAnsi="Garamond"/>
          <w:sz w:val="24"/>
          <w:szCs w:val="24"/>
        </w:rPr>
        <w:t xml:space="preserve"> (irrespective of election years)</w:t>
      </w:r>
      <w:r w:rsidR="00A82956" w:rsidRPr="00F440EA">
        <w:rPr>
          <w:rFonts w:ascii="Garamond" w:hAnsi="Garamond"/>
          <w:sz w:val="24"/>
          <w:szCs w:val="24"/>
        </w:rPr>
        <w:t xml:space="preserve"> when the GDP growth rates were at the </w:t>
      </w:r>
      <w:r w:rsidR="00F440EA">
        <w:rPr>
          <w:rFonts w:ascii="Garamond" w:hAnsi="Garamond"/>
          <w:sz w:val="24"/>
          <w:szCs w:val="24"/>
        </w:rPr>
        <w:t>highest level</w:t>
      </w:r>
      <w:r w:rsidR="005359E1">
        <w:rPr>
          <w:rFonts w:ascii="Garamond" w:hAnsi="Garamond"/>
          <w:sz w:val="24"/>
          <w:szCs w:val="24"/>
        </w:rPr>
        <w:t>. T</w:t>
      </w:r>
      <w:r w:rsidR="00A82956" w:rsidRPr="00F440EA">
        <w:rPr>
          <w:rFonts w:ascii="Garamond" w:hAnsi="Garamond"/>
          <w:sz w:val="24"/>
          <w:szCs w:val="24"/>
        </w:rPr>
        <w:t>he</w:t>
      </w:r>
      <w:r w:rsidR="00F440EA">
        <w:rPr>
          <w:rFonts w:ascii="Garamond" w:hAnsi="Garamond"/>
          <w:sz w:val="24"/>
          <w:szCs w:val="24"/>
        </w:rPr>
        <w:t xml:space="preserve"> corresponding GDP rates</w:t>
      </w:r>
      <w:r w:rsidR="00A82956" w:rsidRPr="00F440EA">
        <w:rPr>
          <w:rFonts w:ascii="Garamond" w:hAnsi="Garamond"/>
          <w:sz w:val="24"/>
          <w:szCs w:val="24"/>
        </w:rPr>
        <w:t xml:space="preserve"> are the observed </w:t>
      </w:r>
      <w:r w:rsidR="00F440EA">
        <w:rPr>
          <w:rFonts w:ascii="Garamond" w:hAnsi="Garamond"/>
          <w:sz w:val="24"/>
          <w:szCs w:val="24"/>
        </w:rPr>
        <w:t xml:space="preserve">peaks along </w:t>
      </w:r>
      <w:r w:rsidR="00A82956" w:rsidRPr="00F440EA">
        <w:rPr>
          <w:rFonts w:ascii="Garamond" w:hAnsi="Garamond"/>
          <w:sz w:val="24"/>
          <w:szCs w:val="24"/>
        </w:rPr>
        <w:t xml:space="preserve">the trend </w:t>
      </w:r>
      <w:r w:rsidR="00F440EA">
        <w:rPr>
          <w:rFonts w:ascii="Garamond" w:hAnsi="Garamond"/>
          <w:sz w:val="24"/>
          <w:szCs w:val="24"/>
        </w:rPr>
        <w:t xml:space="preserve">line </w:t>
      </w:r>
      <w:r w:rsidR="00A82956" w:rsidRPr="00F440EA">
        <w:rPr>
          <w:rFonts w:ascii="Garamond" w:hAnsi="Garamond"/>
          <w:sz w:val="24"/>
          <w:szCs w:val="24"/>
        </w:rPr>
        <w:t xml:space="preserve">in </w:t>
      </w:r>
      <w:r w:rsidR="009F0BB7">
        <w:rPr>
          <w:rFonts w:ascii="Garamond" w:hAnsi="Garamond"/>
          <w:sz w:val="24"/>
          <w:szCs w:val="24"/>
        </w:rPr>
        <w:t>C</w:t>
      </w:r>
      <w:r w:rsidR="00A82956" w:rsidRPr="00F440EA">
        <w:rPr>
          <w:rFonts w:ascii="Garamond" w:hAnsi="Garamond"/>
          <w:sz w:val="24"/>
          <w:szCs w:val="24"/>
        </w:rPr>
        <w:t xml:space="preserve">hart 1 above. </w:t>
      </w:r>
      <w:r w:rsidR="00F440EA" w:rsidRPr="00F440EA">
        <w:rPr>
          <w:rFonts w:ascii="Garamond" w:hAnsi="Garamond"/>
          <w:sz w:val="24"/>
          <w:szCs w:val="24"/>
        </w:rPr>
        <w:t>Table (b)</w:t>
      </w:r>
      <w:r w:rsidR="00F440EA">
        <w:rPr>
          <w:rFonts w:ascii="Garamond" w:hAnsi="Garamond"/>
          <w:sz w:val="24"/>
          <w:szCs w:val="24"/>
        </w:rPr>
        <w:t>, on the other hand, provides a summary of the years</w:t>
      </w:r>
      <w:r w:rsidR="009F0BB7">
        <w:rPr>
          <w:rFonts w:ascii="Garamond" w:hAnsi="Garamond"/>
          <w:sz w:val="24"/>
          <w:szCs w:val="24"/>
        </w:rPr>
        <w:t xml:space="preserve"> (irrespective of election years)</w:t>
      </w:r>
      <w:r w:rsidR="00F440EA">
        <w:rPr>
          <w:rFonts w:ascii="Garamond" w:hAnsi="Garamond"/>
          <w:sz w:val="24"/>
          <w:szCs w:val="24"/>
        </w:rPr>
        <w:t xml:space="preserve"> when the GDP growth r</w:t>
      </w:r>
      <w:r w:rsidR="005359E1">
        <w:rPr>
          <w:rFonts w:ascii="Garamond" w:hAnsi="Garamond"/>
          <w:sz w:val="24"/>
          <w:szCs w:val="24"/>
        </w:rPr>
        <w:t>ates were at the lowest level. T</w:t>
      </w:r>
      <w:r w:rsidR="00F440EA">
        <w:rPr>
          <w:rFonts w:ascii="Garamond" w:hAnsi="Garamond"/>
          <w:sz w:val="24"/>
          <w:szCs w:val="24"/>
        </w:rPr>
        <w:t>he corresponding GDP rates are the observed t</w:t>
      </w:r>
      <w:r w:rsidR="009F0BB7">
        <w:rPr>
          <w:rFonts w:ascii="Garamond" w:hAnsi="Garamond"/>
          <w:sz w:val="24"/>
          <w:szCs w:val="24"/>
        </w:rPr>
        <w:t>roughs along the trend line in C</w:t>
      </w:r>
      <w:r w:rsidR="00F440EA">
        <w:rPr>
          <w:rFonts w:ascii="Garamond" w:hAnsi="Garamond"/>
          <w:sz w:val="24"/>
          <w:szCs w:val="24"/>
        </w:rPr>
        <w:t xml:space="preserve">hart 1 above. Table 1(c) </w:t>
      </w:r>
      <w:r w:rsidR="009F0BB7">
        <w:rPr>
          <w:rFonts w:ascii="Garamond" w:hAnsi="Garamond"/>
          <w:sz w:val="24"/>
          <w:szCs w:val="24"/>
        </w:rPr>
        <w:t xml:space="preserve">exclusively </w:t>
      </w:r>
      <w:r w:rsidR="00F440EA">
        <w:rPr>
          <w:rFonts w:ascii="Garamond" w:hAnsi="Garamond"/>
          <w:sz w:val="24"/>
          <w:szCs w:val="24"/>
        </w:rPr>
        <w:t xml:space="preserve">shows the </w:t>
      </w:r>
      <w:r w:rsidR="005E6090">
        <w:rPr>
          <w:rFonts w:ascii="Garamond" w:hAnsi="Garamond"/>
          <w:sz w:val="24"/>
          <w:szCs w:val="24"/>
        </w:rPr>
        <w:t xml:space="preserve">general </w:t>
      </w:r>
      <w:r w:rsidR="00F440EA">
        <w:rPr>
          <w:rFonts w:ascii="Garamond" w:hAnsi="Garamond"/>
          <w:sz w:val="24"/>
          <w:szCs w:val="24"/>
        </w:rPr>
        <w:t>election years</w:t>
      </w:r>
      <w:r w:rsidR="005E6090">
        <w:rPr>
          <w:rFonts w:ascii="Garamond" w:hAnsi="Garamond"/>
          <w:sz w:val="24"/>
          <w:szCs w:val="24"/>
        </w:rPr>
        <w:t xml:space="preserve"> that</w:t>
      </w:r>
      <w:r w:rsidR="00F440EA">
        <w:rPr>
          <w:rFonts w:ascii="Garamond" w:hAnsi="Garamond"/>
          <w:sz w:val="24"/>
          <w:szCs w:val="24"/>
        </w:rPr>
        <w:t xml:space="preserve"> Kenya has had since independence and their corresponding GDP growth rates.</w:t>
      </w:r>
      <w:r w:rsidR="00295C52">
        <w:rPr>
          <w:rFonts w:ascii="Garamond" w:hAnsi="Garamond"/>
          <w:sz w:val="24"/>
          <w:szCs w:val="24"/>
        </w:rPr>
        <w:t xml:space="preserve"> </w:t>
      </w:r>
      <w:r w:rsidR="00F440EA">
        <w:rPr>
          <w:rFonts w:ascii="Garamond" w:hAnsi="Garamond"/>
          <w:sz w:val="24"/>
          <w:szCs w:val="24"/>
        </w:rPr>
        <w:t xml:space="preserve"> </w:t>
      </w:r>
    </w:p>
    <w:p w:rsidR="00415DCB" w:rsidRDefault="009F0BB7" w:rsidP="00A82956">
      <w:pPr>
        <w:spacing w:line="360" w:lineRule="auto"/>
        <w:jc w:val="both"/>
        <w:rPr>
          <w:rFonts w:ascii="Garamond" w:hAnsi="Garamond"/>
          <w:sz w:val="24"/>
          <w:szCs w:val="24"/>
        </w:rPr>
      </w:pPr>
      <w:r>
        <w:rPr>
          <w:rFonts w:ascii="Garamond" w:hAnsi="Garamond"/>
          <w:sz w:val="24"/>
          <w:szCs w:val="24"/>
        </w:rPr>
        <w:t xml:space="preserve">From </w:t>
      </w:r>
      <w:r w:rsidR="00F440EA">
        <w:rPr>
          <w:rFonts w:ascii="Garamond" w:hAnsi="Garamond"/>
          <w:sz w:val="24"/>
          <w:szCs w:val="24"/>
        </w:rPr>
        <w:t xml:space="preserve">Table 1(b), we evaluate the </w:t>
      </w:r>
      <w:r w:rsidR="006B7D45">
        <w:rPr>
          <w:rFonts w:ascii="Garamond" w:hAnsi="Garamond"/>
          <w:sz w:val="24"/>
          <w:szCs w:val="24"/>
        </w:rPr>
        <w:t>number of election years</w:t>
      </w:r>
      <w:r w:rsidR="005E6090">
        <w:rPr>
          <w:rFonts w:ascii="Garamond" w:hAnsi="Garamond"/>
          <w:sz w:val="24"/>
          <w:szCs w:val="24"/>
        </w:rPr>
        <w:t xml:space="preserve"> that the GDP growth rate was at the lowest point (i.e. </w:t>
      </w:r>
      <w:r w:rsidR="006B7D45">
        <w:rPr>
          <w:rFonts w:ascii="Garamond" w:hAnsi="Garamond"/>
          <w:sz w:val="24"/>
          <w:szCs w:val="24"/>
        </w:rPr>
        <w:t>troughs</w:t>
      </w:r>
      <w:r w:rsidR="005E6090">
        <w:rPr>
          <w:rFonts w:ascii="Garamond" w:hAnsi="Garamond"/>
          <w:sz w:val="24"/>
          <w:szCs w:val="24"/>
        </w:rPr>
        <w:t xml:space="preserve"> in Chart 1 above</w:t>
      </w:r>
      <w:r w:rsidR="006B7D45">
        <w:rPr>
          <w:rFonts w:ascii="Garamond" w:hAnsi="Garamond"/>
          <w:sz w:val="24"/>
          <w:szCs w:val="24"/>
        </w:rPr>
        <w:t xml:space="preserve">). </w:t>
      </w:r>
      <w:r w:rsidR="00995C47">
        <w:rPr>
          <w:rFonts w:ascii="Garamond" w:hAnsi="Garamond"/>
          <w:sz w:val="24"/>
          <w:szCs w:val="24"/>
        </w:rPr>
        <w:t xml:space="preserve">This is important in finding out the probability that a lower GDP growth rate will be witnessed on an election year. </w:t>
      </w:r>
      <w:r w:rsidR="008C7C22">
        <w:rPr>
          <w:rFonts w:ascii="Garamond" w:hAnsi="Garamond"/>
          <w:sz w:val="24"/>
          <w:szCs w:val="24"/>
        </w:rPr>
        <w:t>Note: GDP growth rates for 2008</w:t>
      </w:r>
      <w:r w:rsidR="00024D04">
        <w:rPr>
          <w:rFonts w:ascii="Garamond" w:hAnsi="Garamond"/>
          <w:sz w:val="24"/>
          <w:szCs w:val="24"/>
        </w:rPr>
        <w:t xml:space="preserve"> </w:t>
      </w:r>
      <w:r w:rsidR="008C7C22">
        <w:rPr>
          <w:rFonts w:ascii="Garamond" w:hAnsi="Garamond"/>
          <w:sz w:val="24"/>
          <w:szCs w:val="24"/>
        </w:rPr>
        <w:t>are also at the lowest point and this decline is mainly attributed t</w:t>
      </w:r>
      <w:r w:rsidR="00024D04">
        <w:rPr>
          <w:rFonts w:ascii="Garamond" w:hAnsi="Garamond"/>
          <w:sz w:val="24"/>
          <w:szCs w:val="24"/>
        </w:rPr>
        <w:t>o t</w:t>
      </w:r>
      <w:r w:rsidR="008C7C22">
        <w:rPr>
          <w:rFonts w:ascii="Garamond" w:hAnsi="Garamond"/>
          <w:sz w:val="24"/>
          <w:szCs w:val="24"/>
        </w:rPr>
        <w:t>he post-election violence that was witnessed</w:t>
      </w:r>
      <w:r w:rsidR="00211FDF">
        <w:rPr>
          <w:rFonts w:ascii="Garamond" w:hAnsi="Garamond"/>
          <w:sz w:val="24"/>
          <w:szCs w:val="24"/>
        </w:rPr>
        <w:t xml:space="preserve">. This </w:t>
      </w:r>
      <w:r w:rsidR="008C7C22">
        <w:rPr>
          <w:rFonts w:ascii="Garamond" w:hAnsi="Garamond"/>
          <w:sz w:val="24"/>
          <w:szCs w:val="24"/>
        </w:rPr>
        <w:t xml:space="preserve">has </w:t>
      </w:r>
      <w:r w:rsidR="00211FDF">
        <w:rPr>
          <w:rFonts w:ascii="Garamond" w:hAnsi="Garamond"/>
          <w:sz w:val="24"/>
          <w:szCs w:val="24"/>
        </w:rPr>
        <w:t xml:space="preserve">however </w:t>
      </w:r>
      <w:r w:rsidR="008C7C22">
        <w:rPr>
          <w:rFonts w:ascii="Garamond" w:hAnsi="Garamond"/>
          <w:sz w:val="24"/>
          <w:szCs w:val="24"/>
        </w:rPr>
        <w:t xml:space="preserve">not been included in the analysis simply because we are only interested in the effect of the political campaigns on economic performance on an election year and not non-election years. </w:t>
      </w:r>
      <w:r w:rsidR="006B7D45">
        <w:rPr>
          <w:rFonts w:ascii="Garamond" w:hAnsi="Garamond"/>
          <w:sz w:val="24"/>
          <w:szCs w:val="24"/>
        </w:rPr>
        <w:t xml:space="preserve">This summary is presented in the table below. </w:t>
      </w:r>
    </w:p>
    <w:tbl>
      <w:tblPr>
        <w:tblW w:w="8616" w:type="dxa"/>
        <w:tblLook w:val="04A0" w:firstRow="1" w:lastRow="0" w:firstColumn="1" w:lastColumn="0" w:noHBand="0" w:noVBand="1"/>
      </w:tblPr>
      <w:tblGrid>
        <w:gridCol w:w="270"/>
        <w:gridCol w:w="2682"/>
        <w:gridCol w:w="440"/>
        <w:gridCol w:w="440"/>
        <w:gridCol w:w="440"/>
        <w:gridCol w:w="440"/>
        <w:gridCol w:w="440"/>
        <w:gridCol w:w="278"/>
        <w:gridCol w:w="1092"/>
        <w:gridCol w:w="1102"/>
        <w:gridCol w:w="355"/>
        <w:gridCol w:w="641"/>
      </w:tblGrid>
      <w:tr w:rsidR="00995C47" w:rsidRPr="006B7D45" w:rsidTr="00995C47">
        <w:trPr>
          <w:trHeight w:val="312"/>
        </w:trPr>
        <w:tc>
          <w:tcPr>
            <w:tcW w:w="5152" w:type="dxa"/>
            <w:gridSpan w:val="7"/>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     During s</w:t>
            </w:r>
            <w:r w:rsidRPr="006B7D45">
              <w:rPr>
                <w:rFonts w:ascii="Garamond" w:eastAsia="Times New Roman" w:hAnsi="Garamond" w:cs="Times New Roman"/>
                <w:color w:val="000000"/>
                <w:sz w:val="24"/>
                <w:szCs w:val="24"/>
              </w:rPr>
              <w:t>ingle party period (1963-1990)</w:t>
            </w:r>
          </w:p>
        </w:tc>
        <w:tc>
          <w:tcPr>
            <w:tcW w:w="277"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single" w:sz="4" w:space="0" w:color="auto"/>
              <w:left w:val="nil"/>
              <w:bottom w:val="single" w:sz="4" w:space="0" w:color="auto"/>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r>
      <w:tr w:rsidR="00995C47" w:rsidRPr="006B7D45" w:rsidTr="00995C47">
        <w:trPr>
          <w:trHeight w:val="312"/>
        </w:trPr>
        <w:tc>
          <w:tcPr>
            <w:tcW w:w="270"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7709" w:type="dxa"/>
            <w:gridSpan w:val="10"/>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Years with the lowest growth rates which happen to be election years</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1</w:t>
            </w:r>
          </w:p>
        </w:tc>
      </w:tr>
      <w:tr w:rsidR="00995C47" w:rsidRPr="006B7D45" w:rsidTr="00995C47">
        <w:trPr>
          <w:trHeight w:val="312"/>
        </w:trPr>
        <w:tc>
          <w:tcPr>
            <w:tcW w:w="5152" w:type="dxa"/>
            <w:gridSpan w:val="7"/>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    </w:t>
            </w:r>
            <w:r w:rsidRPr="006B7D45">
              <w:rPr>
                <w:rFonts w:ascii="Garamond" w:eastAsia="Times New Roman" w:hAnsi="Garamond" w:cs="Times New Roman"/>
                <w:color w:val="000000"/>
                <w:sz w:val="24"/>
                <w:szCs w:val="24"/>
              </w:rPr>
              <w:t>Total election years before 1990</w:t>
            </w:r>
          </w:p>
        </w:tc>
        <w:tc>
          <w:tcPr>
            <w:tcW w:w="27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5</w:t>
            </w:r>
          </w:p>
        </w:tc>
      </w:tr>
      <w:tr w:rsidR="00995C47" w:rsidRPr="006B7D45" w:rsidTr="00995C47">
        <w:trPr>
          <w:trHeight w:val="312"/>
        </w:trPr>
        <w:tc>
          <w:tcPr>
            <w:tcW w:w="270" w:type="dxa"/>
            <w:tcBorders>
              <w:top w:val="nil"/>
              <w:left w:val="nil"/>
              <w:bottom w:val="single" w:sz="4" w:space="0" w:color="auto"/>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7709" w:type="dxa"/>
            <w:gridSpan w:val="10"/>
            <w:tcBorders>
              <w:top w:val="nil"/>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Probability of witnessing a lower growth rate during an election year</w:t>
            </w:r>
          </w:p>
        </w:tc>
        <w:tc>
          <w:tcPr>
            <w:tcW w:w="637" w:type="dxa"/>
            <w:tcBorders>
              <w:top w:val="nil"/>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20%</w:t>
            </w:r>
          </w:p>
        </w:tc>
      </w:tr>
      <w:tr w:rsidR="00995C47" w:rsidRPr="006B7D45" w:rsidTr="00995C47">
        <w:trPr>
          <w:trHeight w:val="312"/>
        </w:trPr>
        <w:tc>
          <w:tcPr>
            <w:tcW w:w="2952" w:type="dxa"/>
            <w:gridSpan w:val="2"/>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27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r>
      <w:tr w:rsidR="00995C47" w:rsidRPr="006B7D45" w:rsidTr="00995C47">
        <w:trPr>
          <w:trHeight w:val="312"/>
        </w:trPr>
        <w:tc>
          <w:tcPr>
            <w:tcW w:w="2952" w:type="dxa"/>
            <w:gridSpan w:val="2"/>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27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r>
      <w:tr w:rsidR="00995C47" w:rsidRPr="006B7D45" w:rsidTr="00995C47">
        <w:trPr>
          <w:trHeight w:val="312"/>
        </w:trPr>
        <w:tc>
          <w:tcPr>
            <w:tcW w:w="5152" w:type="dxa"/>
            <w:gridSpan w:val="7"/>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     </w:t>
            </w:r>
            <w:r w:rsidRPr="006B7D45">
              <w:rPr>
                <w:rFonts w:ascii="Garamond" w:eastAsia="Times New Roman" w:hAnsi="Garamond" w:cs="Times New Roman"/>
                <w:color w:val="000000"/>
                <w:sz w:val="24"/>
                <w:szCs w:val="24"/>
              </w:rPr>
              <w:t>During multiparty period (1990-2014)</w:t>
            </w:r>
          </w:p>
        </w:tc>
        <w:tc>
          <w:tcPr>
            <w:tcW w:w="277"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single" w:sz="4" w:space="0" w:color="auto"/>
              <w:left w:val="nil"/>
              <w:bottom w:val="single" w:sz="4" w:space="0" w:color="auto"/>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r>
      <w:tr w:rsidR="00995C47" w:rsidRPr="006B7D45" w:rsidTr="00995C47">
        <w:trPr>
          <w:trHeight w:val="312"/>
        </w:trPr>
        <w:tc>
          <w:tcPr>
            <w:tcW w:w="270"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7709" w:type="dxa"/>
            <w:gridSpan w:val="10"/>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Years with the lowest growth rates which happen to be election years</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3</w:t>
            </w:r>
          </w:p>
        </w:tc>
      </w:tr>
      <w:tr w:rsidR="00995C47" w:rsidRPr="006B7D45" w:rsidTr="00995C47">
        <w:trPr>
          <w:trHeight w:val="312"/>
        </w:trPr>
        <w:tc>
          <w:tcPr>
            <w:tcW w:w="5152" w:type="dxa"/>
            <w:gridSpan w:val="7"/>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    </w:t>
            </w:r>
            <w:r w:rsidRPr="006B7D45">
              <w:rPr>
                <w:rFonts w:ascii="Garamond" w:eastAsia="Times New Roman" w:hAnsi="Garamond" w:cs="Times New Roman"/>
                <w:color w:val="000000"/>
                <w:sz w:val="24"/>
                <w:szCs w:val="24"/>
              </w:rPr>
              <w:t>Total election years after 1990</w:t>
            </w:r>
          </w:p>
        </w:tc>
        <w:tc>
          <w:tcPr>
            <w:tcW w:w="27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5</w:t>
            </w:r>
          </w:p>
        </w:tc>
      </w:tr>
      <w:tr w:rsidR="00995C47" w:rsidRPr="006B7D45" w:rsidTr="00995C47">
        <w:trPr>
          <w:trHeight w:val="312"/>
        </w:trPr>
        <w:tc>
          <w:tcPr>
            <w:tcW w:w="270" w:type="dxa"/>
            <w:tcBorders>
              <w:top w:val="nil"/>
              <w:left w:val="nil"/>
              <w:bottom w:val="single" w:sz="4" w:space="0" w:color="auto"/>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7709" w:type="dxa"/>
            <w:gridSpan w:val="10"/>
            <w:tcBorders>
              <w:top w:val="nil"/>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Probability of witnessing a lower growth rate during an election year</w:t>
            </w:r>
          </w:p>
        </w:tc>
        <w:tc>
          <w:tcPr>
            <w:tcW w:w="637" w:type="dxa"/>
            <w:tcBorders>
              <w:top w:val="nil"/>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60%</w:t>
            </w:r>
          </w:p>
        </w:tc>
      </w:tr>
      <w:tr w:rsidR="00995C47" w:rsidRPr="006B7D45" w:rsidTr="00995C47">
        <w:trPr>
          <w:trHeight w:val="312"/>
        </w:trPr>
        <w:tc>
          <w:tcPr>
            <w:tcW w:w="2952" w:type="dxa"/>
            <w:gridSpan w:val="2"/>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27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r>
      <w:tr w:rsidR="00995C47" w:rsidRPr="006B7D45" w:rsidTr="00995C47">
        <w:trPr>
          <w:trHeight w:val="312"/>
        </w:trPr>
        <w:tc>
          <w:tcPr>
            <w:tcW w:w="2952" w:type="dxa"/>
            <w:gridSpan w:val="2"/>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440"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27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r>
      <w:tr w:rsidR="00995C47" w:rsidRPr="006B7D45" w:rsidTr="00995C47">
        <w:trPr>
          <w:trHeight w:val="312"/>
        </w:trPr>
        <w:tc>
          <w:tcPr>
            <w:tcW w:w="5152" w:type="dxa"/>
            <w:gridSpan w:val="7"/>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     </w:t>
            </w:r>
            <w:r w:rsidRPr="006B7D45">
              <w:rPr>
                <w:rFonts w:ascii="Garamond" w:eastAsia="Times New Roman" w:hAnsi="Garamond" w:cs="Times New Roman"/>
                <w:color w:val="000000"/>
                <w:sz w:val="24"/>
                <w:szCs w:val="24"/>
              </w:rPr>
              <w:t>During all the period (1963 - 2014)</w:t>
            </w:r>
          </w:p>
        </w:tc>
        <w:tc>
          <w:tcPr>
            <w:tcW w:w="277"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single" w:sz="4" w:space="0" w:color="auto"/>
              <w:left w:val="nil"/>
              <w:bottom w:val="single" w:sz="4" w:space="0" w:color="auto"/>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single" w:sz="4" w:space="0" w:color="auto"/>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r>
      <w:tr w:rsidR="00995C47" w:rsidRPr="006B7D45" w:rsidTr="00995C47">
        <w:trPr>
          <w:trHeight w:val="312"/>
        </w:trPr>
        <w:tc>
          <w:tcPr>
            <w:tcW w:w="270"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7709" w:type="dxa"/>
            <w:gridSpan w:val="10"/>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Years with the lowest growth rates which happen to be election years</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4</w:t>
            </w:r>
          </w:p>
        </w:tc>
      </w:tr>
      <w:tr w:rsidR="00995C47" w:rsidRPr="006B7D45" w:rsidTr="00995C47">
        <w:trPr>
          <w:trHeight w:val="312"/>
        </w:trPr>
        <w:tc>
          <w:tcPr>
            <w:tcW w:w="5152" w:type="dxa"/>
            <w:gridSpan w:val="7"/>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    </w:t>
            </w:r>
            <w:r w:rsidRPr="006B7D45">
              <w:rPr>
                <w:rFonts w:ascii="Garamond" w:eastAsia="Times New Roman" w:hAnsi="Garamond" w:cs="Times New Roman"/>
                <w:color w:val="000000"/>
                <w:sz w:val="24"/>
                <w:szCs w:val="24"/>
              </w:rPr>
              <w:t>Total election years (1963-2014)</w:t>
            </w:r>
          </w:p>
        </w:tc>
        <w:tc>
          <w:tcPr>
            <w:tcW w:w="27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1093" w:type="dxa"/>
            <w:tcBorders>
              <w:top w:val="nil"/>
              <w:left w:val="nil"/>
              <w:bottom w:val="nil"/>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1102"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355"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 </w:t>
            </w:r>
          </w:p>
        </w:tc>
        <w:tc>
          <w:tcPr>
            <w:tcW w:w="637" w:type="dxa"/>
            <w:tcBorders>
              <w:top w:val="nil"/>
              <w:left w:val="nil"/>
              <w:bottom w:val="nil"/>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10</w:t>
            </w:r>
          </w:p>
        </w:tc>
      </w:tr>
      <w:tr w:rsidR="00995C47" w:rsidRPr="006B7D45" w:rsidTr="00995C47">
        <w:trPr>
          <w:trHeight w:val="312"/>
        </w:trPr>
        <w:tc>
          <w:tcPr>
            <w:tcW w:w="270" w:type="dxa"/>
            <w:tcBorders>
              <w:top w:val="nil"/>
              <w:left w:val="nil"/>
              <w:bottom w:val="single" w:sz="4" w:space="0" w:color="auto"/>
              <w:right w:val="nil"/>
            </w:tcBorders>
            <w:shd w:val="clear" w:color="000000" w:fill="FFFFFF"/>
          </w:tcPr>
          <w:p w:rsidR="00995C47" w:rsidRPr="006B7D45" w:rsidRDefault="00995C47" w:rsidP="006B7D45">
            <w:pPr>
              <w:spacing w:after="0" w:line="240" w:lineRule="auto"/>
              <w:rPr>
                <w:rFonts w:ascii="Garamond" w:eastAsia="Times New Roman" w:hAnsi="Garamond" w:cs="Times New Roman"/>
                <w:color w:val="000000"/>
                <w:sz w:val="24"/>
                <w:szCs w:val="24"/>
              </w:rPr>
            </w:pPr>
          </w:p>
        </w:tc>
        <w:tc>
          <w:tcPr>
            <w:tcW w:w="7709" w:type="dxa"/>
            <w:gridSpan w:val="10"/>
            <w:tcBorders>
              <w:top w:val="nil"/>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Probability of witnessing a lower growth rate during an election year</w:t>
            </w:r>
          </w:p>
        </w:tc>
        <w:tc>
          <w:tcPr>
            <w:tcW w:w="637" w:type="dxa"/>
            <w:tcBorders>
              <w:top w:val="nil"/>
              <w:left w:val="nil"/>
              <w:bottom w:val="single" w:sz="4" w:space="0" w:color="auto"/>
              <w:right w:val="nil"/>
            </w:tcBorders>
            <w:shd w:val="clear" w:color="000000" w:fill="FFFFFF"/>
            <w:noWrap/>
            <w:vAlign w:val="bottom"/>
            <w:hideMark/>
          </w:tcPr>
          <w:p w:rsidR="00995C47" w:rsidRPr="006B7D45" w:rsidRDefault="00995C47" w:rsidP="006B7D45">
            <w:pPr>
              <w:spacing w:after="0" w:line="240" w:lineRule="auto"/>
              <w:jc w:val="right"/>
              <w:rPr>
                <w:rFonts w:ascii="Garamond" w:eastAsia="Times New Roman" w:hAnsi="Garamond" w:cs="Times New Roman"/>
                <w:color w:val="000000"/>
                <w:sz w:val="24"/>
                <w:szCs w:val="24"/>
              </w:rPr>
            </w:pPr>
            <w:r w:rsidRPr="006B7D45">
              <w:rPr>
                <w:rFonts w:ascii="Garamond" w:eastAsia="Times New Roman" w:hAnsi="Garamond" w:cs="Times New Roman"/>
                <w:color w:val="000000"/>
                <w:sz w:val="24"/>
                <w:szCs w:val="24"/>
              </w:rPr>
              <w:t>40%</w:t>
            </w:r>
          </w:p>
        </w:tc>
      </w:tr>
    </w:tbl>
    <w:p w:rsidR="006B7D45" w:rsidRPr="00B97535" w:rsidRDefault="008C7C22" w:rsidP="00A82956">
      <w:pPr>
        <w:spacing w:line="360" w:lineRule="auto"/>
        <w:jc w:val="both"/>
        <w:rPr>
          <w:rFonts w:ascii="Garamond" w:hAnsi="Garamond"/>
          <w:i/>
          <w:sz w:val="24"/>
          <w:szCs w:val="24"/>
        </w:rPr>
      </w:pPr>
      <w:r w:rsidRPr="00B97535">
        <w:rPr>
          <w:rFonts w:ascii="Garamond" w:hAnsi="Garamond"/>
          <w:i/>
          <w:sz w:val="24"/>
          <w:szCs w:val="24"/>
        </w:rPr>
        <w:t>S</w:t>
      </w:r>
      <w:r w:rsidR="00B97535" w:rsidRPr="00B97535">
        <w:rPr>
          <w:rFonts w:ascii="Garamond" w:hAnsi="Garamond"/>
          <w:i/>
          <w:sz w:val="24"/>
          <w:szCs w:val="24"/>
        </w:rPr>
        <w:t>ource: Author’s calculation from World Bank</w:t>
      </w:r>
    </w:p>
    <w:p w:rsidR="006B7D45" w:rsidRDefault="006B7D45" w:rsidP="00A82956">
      <w:pPr>
        <w:spacing w:line="360" w:lineRule="auto"/>
        <w:jc w:val="both"/>
        <w:rPr>
          <w:rFonts w:ascii="Garamond" w:hAnsi="Garamond"/>
          <w:sz w:val="24"/>
          <w:szCs w:val="24"/>
        </w:rPr>
      </w:pPr>
      <w:r>
        <w:rPr>
          <w:rFonts w:ascii="Garamond" w:hAnsi="Garamond"/>
          <w:sz w:val="24"/>
          <w:szCs w:val="24"/>
        </w:rPr>
        <w:t>In the period be</w:t>
      </w:r>
      <w:r w:rsidR="00995C47">
        <w:rPr>
          <w:rFonts w:ascii="Garamond" w:hAnsi="Garamond"/>
          <w:sz w:val="24"/>
          <w:szCs w:val="24"/>
        </w:rPr>
        <w:t>fore the multipartyism (1963-1990)</w:t>
      </w:r>
      <w:r>
        <w:rPr>
          <w:rFonts w:ascii="Garamond" w:hAnsi="Garamond"/>
          <w:sz w:val="24"/>
          <w:szCs w:val="24"/>
        </w:rPr>
        <w:t xml:space="preserve">, it is observed that </w:t>
      </w:r>
      <w:r w:rsidR="00600B7B">
        <w:rPr>
          <w:rFonts w:ascii="Garamond" w:hAnsi="Garamond"/>
          <w:sz w:val="24"/>
          <w:szCs w:val="24"/>
        </w:rPr>
        <w:t xml:space="preserve">out of </w:t>
      </w:r>
      <w:r w:rsidR="00E5352C">
        <w:rPr>
          <w:rFonts w:ascii="Garamond" w:hAnsi="Garamond"/>
          <w:sz w:val="24"/>
          <w:szCs w:val="24"/>
        </w:rPr>
        <w:t xml:space="preserve">the total </w:t>
      </w:r>
      <w:r w:rsidR="00600B7B">
        <w:rPr>
          <w:rFonts w:ascii="Garamond" w:hAnsi="Garamond"/>
          <w:sz w:val="24"/>
          <w:szCs w:val="24"/>
        </w:rPr>
        <w:t>five general elections,</w:t>
      </w:r>
      <w:r w:rsidR="00211FDF">
        <w:rPr>
          <w:rFonts w:ascii="Garamond" w:hAnsi="Garamond"/>
          <w:sz w:val="24"/>
          <w:szCs w:val="24"/>
        </w:rPr>
        <w:t xml:space="preserve"> </w:t>
      </w:r>
      <w:r w:rsidR="008C7C22">
        <w:rPr>
          <w:rFonts w:ascii="Garamond" w:hAnsi="Garamond"/>
          <w:sz w:val="24"/>
          <w:szCs w:val="24"/>
        </w:rPr>
        <w:t xml:space="preserve">there was only one </w:t>
      </w:r>
      <w:r w:rsidR="00600B7B">
        <w:rPr>
          <w:rFonts w:ascii="Garamond" w:hAnsi="Garamond"/>
          <w:sz w:val="24"/>
          <w:szCs w:val="24"/>
        </w:rPr>
        <w:t>election year on which Kenya witnesse</w:t>
      </w:r>
      <w:r w:rsidR="008C7C22">
        <w:rPr>
          <w:rFonts w:ascii="Garamond" w:hAnsi="Garamond"/>
          <w:sz w:val="24"/>
          <w:szCs w:val="24"/>
        </w:rPr>
        <w:t xml:space="preserve">d a lower GDP growth rate i.e. </w:t>
      </w:r>
      <w:r w:rsidR="00600B7B">
        <w:rPr>
          <w:rFonts w:ascii="Garamond" w:hAnsi="Garamond"/>
          <w:sz w:val="24"/>
          <w:szCs w:val="24"/>
        </w:rPr>
        <w:t xml:space="preserve">1983. Therefore, in this particular period, the chance that a lower GDP growth rate was likely to be witnessed </w:t>
      </w:r>
      <w:r w:rsidR="00F82C95">
        <w:rPr>
          <w:rFonts w:ascii="Garamond" w:hAnsi="Garamond"/>
          <w:sz w:val="24"/>
          <w:szCs w:val="24"/>
        </w:rPr>
        <w:t xml:space="preserve">on an election year </w:t>
      </w:r>
      <w:r w:rsidR="00E5352C">
        <w:rPr>
          <w:rFonts w:ascii="Garamond" w:hAnsi="Garamond"/>
          <w:sz w:val="24"/>
          <w:szCs w:val="24"/>
        </w:rPr>
        <w:t>is</w:t>
      </w:r>
      <w:r w:rsidR="00600B7B">
        <w:rPr>
          <w:rFonts w:ascii="Garamond" w:hAnsi="Garamond"/>
          <w:sz w:val="24"/>
          <w:szCs w:val="24"/>
        </w:rPr>
        <w:t xml:space="preserve"> 20%. </w:t>
      </w:r>
    </w:p>
    <w:p w:rsidR="00600B7B" w:rsidRDefault="00600B7B" w:rsidP="00A82956">
      <w:pPr>
        <w:spacing w:line="360" w:lineRule="auto"/>
        <w:jc w:val="both"/>
        <w:rPr>
          <w:rFonts w:ascii="Garamond" w:hAnsi="Garamond"/>
          <w:sz w:val="24"/>
          <w:szCs w:val="24"/>
        </w:rPr>
      </w:pPr>
      <w:r>
        <w:rPr>
          <w:rFonts w:ascii="Garamond" w:hAnsi="Garamond"/>
          <w:sz w:val="24"/>
          <w:szCs w:val="24"/>
        </w:rPr>
        <w:t>In the per</w:t>
      </w:r>
      <w:r w:rsidR="00275C6A">
        <w:rPr>
          <w:rFonts w:ascii="Garamond" w:hAnsi="Garamond"/>
          <w:sz w:val="24"/>
          <w:szCs w:val="24"/>
        </w:rPr>
        <w:t>iod during</w:t>
      </w:r>
      <w:r>
        <w:rPr>
          <w:rFonts w:ascii="Garamond" w:hAnsi="Garamond"/>
          <w:sz w:val="24"/>
          <w:szCs w:val="24"/>
        </w:rPr>
        <w:t xml:space="preserve"> the multipartyism (1990-2014), it is observed that out of</w:t>
      </w:r>
      <w:r w:rsidR="00E5352C">
        <w:rPr>
          <w:rFonts w:ascii="Garamond" w:hAnsi="Garamond"/>
          <w:sz w:val="24"/>
          <w:szCs w:val="24"/>
        </w:rPr>
        <w:t xml:space="preserve"> the total</w:t>
      </w:r>
      <w:r>
        <w:rPr>
          <w:rFonts w:ascii="Garamond" w:hAnsi="Garamond"/>
          <w:sz w:val="24"/>
          <w:szCs w:val="24"/>
        </w:rPr>
        <w:t xml:space="preserve"> five general elections, the election years on which Kenya witnessed a lower GDP growth rates were three, i.e. 1992,</w:t>
      </w:r>
      <w:r w:rsidR="00F82C95">
        <w:rPr>
          <w:rFonts w:ascii="Garamond" w:hAnsi="Garamond"/>
          <w:sz w:val="24"/>
          <w:szCs w:val="24"/>
        </w:rPr>
        <w:t xml:space="preserve"> </w:t>
      </w:r>
      <w:r>
        <w:rPr>
          <w:rFonts w:ascii="Garamond" w:hAnsi="Garamond"/>
          <w:sz w:val="24"/>
          <w:szCs w:val="24"/>
        </w:rPr>
        <w:t xml:space="preserve">1997 </w:t>
      </w:r>
      <w:r w:rsidR="00F82C95">
        <w:rPr>
          <w:rFonts w:ascii="Garamond" w:hAnsi="Garamond"/>
          <w:sz w:val="24"/>
          <w:szCs w:val="24"/>
        </w:rPr>
        <w:t>and 2002</w:t>
      </w:r>
      <w:r>
        <w:rPr>
          <w:rFonts w:ascii="Garamond" w:hAnsi="Garamond"/>
          <w:sz w:val="24"/>
          <w:szCs w:val="24"/>
        </w:rPr>
        <w:t>. Therefore, in this particular period, the chance that a lower GDP growth rate was likely to be witnessed</w:t>
      </w:r>
      <w:r w:rsidR="00E5352C">
        <w:rPr>
          <w:rFonts w:ascii="Garamond" w:hAnsi="Garamond"/>
          <w:sz w:val="24"/>
          <w:szCs w:val="24"/>
        </w:rPr>
        <w:t xml:space="preserve"> on an election year is</w:t>
      </w:r>
      <w:r w:rsidR="00D31471">
        <w:rPr>
          <w:rFonts w:ascii="Garamond" w:hAnsi="Garamond"/>
          <w:sz w:val="24"/>
          <w:szCs w:val="24"/>
        </w:rPr>
        <w:t xml:space="preserve"> generally high;</w:t>
      </w:r>
      <w:r w:rsidR="00F82C95">
        <w:rPr>
          <w:rFonts w:ascii="Garamond" w:hAnsi="Garamond"/>
          <w:sz w:val="24"/>
          <w:szCs w:val="24"/>
        </w:rPr>
        <w:t xml:space="preserve"> 60%.</w:t>
      </w:r>
    </w:p>
    <w:p w:rsidR="00F82C95" w:rsidRDefault="00F82C95" w:rsidP="00A82956">
      <w:pPr>
        <w:spacing w:line="360" w:lineRule="auto"/>
        <w:jc w:val="both"/>
        <w:rPr>
          <w:rFonts w:ascii="Garamond" w:hAnsi="Garamond"/>
          <w:sz w:val="24"/>
          <w:szCs w:val="24"/>
        </w:rPr>
      </w:pPr>
      <w:r>
        <w:rPr>
          <w:rFonts w:ascii="Garamond" w:hAnsi="Garamond"/>
          <w:sz w:val="24"/>
          <w:szCs w:val="24"/>
        </w:rPr>
        <w:t>Overal</w:t>
      </w:r>
      <w:r w:rsidR="00E5352C">
        <w:rPr>
          <w:rFonts w:ascii="Garamond" w:hAnsi="Garamond"/>
          <w:sz w:val="24"/>
          <w:szCs w:val="24"/>
        </w:rPr>
        <w:t>l, out of ten general elections Kenya has had since independence, four record</w:t>
      </w:r>
      <w:r>
        <w:rPr>
          <w:rFonts w:ascii="Garamond" w:hAnsi="Garamond"/>
          <w:sz w:val="24"/>
          <w:szCs w:val="24"/>
        </w:rPr>
        <w:t xml:space="preserve"> a lower GDP growth rate implying that there is a 40% chance of witnessing a lower GDP growth rate on an election year</w:t>
      </w:r>
      <w:r w:rsidR="00E5352C">
        <w:rPr>
          <w:rFonts w:ascii="Garamond" w:hAnsi="Garamond"/>
          <w:sz w:val="24"/>
          <w:szCs w:val="24"/>
        </w:rPr>
        <w:t xml:space="preserve"> in Kenya</w:t>
      </w:r>
      <w:r>
        <w:rPr>
          <w:rFonts w:ascii="Garamond" w:hAnsi="Garamond"/>
          <w:sz w:val="24"/>
          <w:szCs w:val="24"/>
        </w:rPr>
        <w:t xml:space="preserve">. </w:t>
      </w:r>
    </w:p>
    <w:p w:rsidR="00211FDF" w:rsidRDefault="00F82C95" w:rsidP="00A82956">
      <w:pPr>
        <w:spacing w:line="360" w:lineRule="auto"/>
        <w:jc w:val="both"/>
        <w:rPr>
          <w:rFonts w:ascii="Garamond" w:hAnsi="Garamond"/>
          <w:sz w:val="24"/>
          <w:szCs w:val="24"/>
        </w:rPr>
      </w:pPr>
      <w:r>
        <w:rPr>
          <w:rFonts w:ascii="Garamond" w:hAnsi="Garamond"/>
          <w:sz w:val="24"/>
          <w:szCs w:val="24"/>
        </w:rPr>
        <w:t xml:space="preserve">From the above analysis, it </w:t>
      </w:r>
      <w:r w:rsidR="002A61D9">
        <w:rPr>
          <w:rFonts w:ascii="Garamond" w:hAnsi="Garamond"/>
          <w:sz w:val="24"/>
          <w:szCs w:val="24"/>
        </w:rPr>
        <w:t xml:space="preserve">is observed that there are more election years recording lower GDP growth rates in </w:t>
      </w:r>
      <w:r w:rsidR="00275C6A">
        <w:rPr>
          <w:rFonts w:ascii="Garamond" w:hAnsi="Garamond"/>
          <w:sz w:val="24"/>
          <w:szCs w:val="24"/>
        </w:rPr>
        <w:t>the period during</w:t>
      </w:r>
      <w:r>
        <w:rPr>
          <w:rFonts w:ascii="Garamond" w:hAnsi="Garamond"/>
          <w:sz w:val="24"/>
          <w:szCs w:val="24"/>
        </w:rPr>
        <w:t xml:space="preserve"> multipartyism </w:t>
      </w:r>
      <w:r w:rsidR="00295C52">
        <w:rPr>
          <w:rFonts w:ascii="Garamond" w:hAnsi="Garamond"/>
          <w:sz w:val="24"/>
          <w:szCs w:val="24"/>
        </w:rPr>
        <w:t xml:space="preserve">than in </w:t>
      </w:r>
      <w:r w:rsidR="00B97535">
        <w:rPr>
          <w:rFonts w:ascii="Garamond" w:hAnsi="Garamond"/>
          <w:sz w:val="24"/>
          <w:szCs w:val="24"/>
        </w:rPr>
        <w:t xml:space="preserve">the previous </w:t>
      </w:r>
      <w:r w:rsidR="00295C52">
        <w:rPr>
          <w:rFonts w:ascii="Garamond" w:hAnsi="Garamond"/>
          <w:sz w:val="24"/>
          <w:szCs w:val="24"/>
        </w:rPr>
        <w:t>period</w:t>
      </w:r>
      <w:r w:rsidR="00B97535">
        <w:rPr>
          <w:rFonts w:ascii="Garamond" w:hAnsi="Garamond"/>
          <w:sz w:val="24"/>
          <w:szCs w:val="24"/>
        </w:rPr>
        <w:t xml:space="preserve"> (1963-1990)</w:t>
      </w:r>
      <w:r w:rsidR="00295C52">
        <w:rPr>
          <w:rFonts w:ascii="Garamond" w:hAnsi="Garamond"/>
          <w:sz w:val="24"/>
          <w:szCs w:val="24"/>
        </w:rPr>
        <w:t xml:space="preserve">. It is also observed that the average GDP </w:t>
      </w:r>
      <w:r w:rsidR="00041939">
        <w:rPr>
          <w:rFonts w:ascii="Garamond" w:hAnsi="Garamond"/>
          <w:sz w:val="24"/>
          <w:szCs w:val="24"/>
        </w:rPr>
        <w:t>growth rate</w:t>
      </w:r>
      <w:r w:rsidR="00295C52">
        <w:rPr>
          <w:rFonts w:ascii="Garamond" w:hAnsi="Garamond"/>
          <w:sz w:val="24"/>
          <w:szCs w:val="24"/>
        </w:rPr>
        <w:t xml:space="preserve"> for the election years after 1990 </w:t>
      </w:r>
      <w:r w:rsidR="00041939">
        <w:rPr>
          <w:rFonts w:ascii="Garamond" w:hAnsi="Garamond"/>
          <w:sz w:val="24"/>
          <w:szCs w:val="24"/>
        </w:rPr>
        <w:t>(</w:t>
      </w:r>
      <w:r w:rsidR="00295C52">
        <w:rPr>
          <w:rFonts w:ascii="Garamond" w:hAnsi="Garamond"/>
          <w:sz w:val="24"/>
          <w:szCs w:val="24"/>
        </w:rPr>
        <w:t>Table 1(c</w:t>
      </w:r>
      <w:r w:rsidR="00041939">
        <w:rPr>
          <w:rFonts w:ascii="Garamond" w:hAnsi="Garamond"/>
          <w:sz w:val="24"/>
          <w:szCs w:val="24"/>
        </w:rPr>
        <w:t>)</w:t>
      </w:r>
      <w:r w:rsidR="00295C52">
        <w:rPr>
          <w:rFonts w:ascii="Garamond" w:hAnsi="Garamond"/>
          <w:sz w:val="24"/>
          <w:szCs w:val="24"/>
        </w:rPr>
        <w:t xml:space="preserve"> above</w:t>
      </w:r>
      <w:r w:rsidR="00041939">
        <w:rPr>
          <w:rFonts w:ascii="Garamond" w:hAnsi="Garamond"/>
          <w:sz w:val="24"/>
          <w:szCs w:val="24"/>
        </w:rPr>
        <w:t>) is lower at 2.58% than those before 1990 at 5.43%.</w:t>
      </w:r>
      <w:r w:rsidR="00275C6A">
        <w:rPr>
          <w:rFonts w:ascii="Garamond" w:hAnsi="Garamond"/>
          <w:sz w:val="24"/>
          <w:szCs w:val="24"/>
        </w:rPr>
        <w:t xml:space="preserve"> </w:t>
      </w:r>
      <w:r w:rsidR="00441968">
        <w:rPr>
          <w:rFonts w:ascii="Garamond" w:hAnsi="Garamond"/>
          <w:sz w:val="24"/>
          <w:szCs w:val="24"/>
        </w:rPr>
        <w:t xml:space="preserve">This </w:t>
      </w:r>
      <w:r w:rsidR="006800AB">
        <w:rPr>
          <w:rFonts w:ascii="Garamond" w:hAnsi="Garamond"/>
          <w:sz w:val="24"/>
          <w:szCs w:val="24"/>
        </w:rPr>
        <w:t>suggest</w:t>
      </w:r>
      <w:r w:rsidR="008C7C22">
        <w:rPr>
          <w:rFonts w:ascii="Garamond" w:hAnsi="Garamond"/>
          <w:sz w:val="24"/>
          <w:szCs w:val="24"/>
        </w:rPr>
        <w:t>s</w:t>
      </w:r>
      <w:r w:rsidR="006800AB">
        <w:rPr>
          <w:rFonts w:ascii="Garamond" w:hAnsi="Garamond"/>
          <w:sz w:val="24"/>
          <w:szCs w:val="24"/>
        </w:rPr>
        <w:t xml:space="preserve"> that negative impact of elections has been greatly witnessed in the multiparty period than in the previous period</w:t>
      </w:r>
      <w:r w:rsidR="00211FDF">
        <w:rPr>
          <w:rFonts w:ascii="Garamond" w:hAnsi="Garamond"/>
          <w:sz w:val="24"/>
          <w:szCs w:val="24"/>
        </w:rPr>
        <w:t xml:space="preserve"> </w:t>
      </w:r>
      <w:r w:rsidR="006800AB">
        <w:rPr>
          <w:rFonts w:ascii="Garamond" w:hAnsi="Garamond"/>
          <w:sz w:val="24"/>
          <w:szCs w:val="24"/>
        </w:rPr>
        <w:t xml:space="preserve">of 1963-1990. </w:t>
      </w:r>
    </w:p>
    <w:p w:rsidR="008C7C22" w:rsidRDefault="006800AB" w:rsidP="00485F40">
      <w:pPr>
        <w:spacing w:line="360" w:lineRule="auto"/>
        <w:jc w:val="both"/>
        <w:rPr>
          <w:rFonts w:ascii="Garamond" w:hAnsi="Garamond"/>
          <w:b/>
          <w:sz w:val="24"/>
          <w:szCs w:val="24"/>
        </w:rPr>
      </w:pPr>
      <w:r>
        <w:rPr>
          <w:rFonts w:ascii="Garamond" w:hAnsi="Garamond"/>
          <w:sz w:val="24"/>
          <w:szCs w:val="24"/>
        </w:rPr>
        <w:t xml:space="preserve">Chart 2 below compares the average GDP growth rates for all years including election years </w:t>
      </w:r>
      <w:r w:rsidR="005A6301">
        <w:rPr>
          <w:rFonts w:ascii="Garamond" w:hAnsi="Garamond"/>
          <w:sz w:val="24"/>
          <w:szCs w:val="24"/>
        </w:rPr>
        <w:t xml:space="preserve">with the average GDP growth rates for all years with exception of the election years. </w:t>
      </w:r>
      <w:r>
        <w:rPr>
          <w:rFonts w:ascii="Garamond" w:hAnsi="Garamond"/>
          <w:sz w:val="24"/>
          <w:szCs w:val="24"/>
        </w:rPr>
        <w:t xml:space="preserve">   </w:t>
      </w:r>
    </w:p>
    <w:p w:rsidR="00B61EA4" w:rsidRPr="00441968" w:rsidRDefault="00441968" w:rsidP="005A6301">
      <w:pPr>
        <w:spacing w:line="240" w:lineRule="auto"/>
        <w:jc w:val="both"/>
        <w:rPr>
          <w:rFonts w:ascii="Garamond" w:hAnsi="Garamond"/>
          <w:b/>
          <w:sz w:val="24"/>
          <w:szCs w:val="24"/>
        </w:rPr>
      </w:pPr>
      <w:r>
        <w:rPr>
          <w:rFonts w:ascii="Garamond" w:hAnsi="Garamond"/>
          <w:b/>
          <w:sz w:val="24"/>
          <w:szCs w:val="24"/>
        </w:rPr>
        <w:t xml:space="preserve">Chart 2: </w:t>
      </w:r>
      <w:r w:rsidRPr="00441968">
        <w:rPr>
          <w:rFonts w:ascii="Garamond" w:hAnsi="Garamond"/>
          <w:b/>
          <w:sz w:val="24"/>
          <w:szCs w:val="24"/>
        </w:rPr>
        <w:t xml:space="preserve">Comparison of </w:t>
      </w:r>
      <w:r w:rsidR="00B61EA4" w:rsidRPr="00441968">
        <w:rPr>
          <w:rFonts w:ascii="Garamond" w:hAnsi="Garamond"/>
          <w:b/>
          <w:sz w:val="24"/>
          <w:szCs w:val="24"/>
        </w:rPr>
        <w:t>Ave</w:t>
      </w:r>
      <w:r w:rsidRPr="00441968">
        <w:rPr>
          <w:rFonts w:ascii="Garamond" w:hAnsi="Garamond"/>
          <w:b/>
          <w:sz w:val="24"/>
          <w:szCs w:val="24"/>
        </w:rPr>
        <w:t xml:space="preserve">rage </w:t>
      </w:r>
      <w:r>
        <w:rPr>
          <w:rFonts w:ascii="Garamond" w:hAnsi="Garamond"/>
          <w:b/>
          <w:sz w:val="24"/>
          <w:szCs w:val="24"/>
        </w:rPr>
        <w:t xml:space="preserve">GDP </w:t>
      </w:r>
      <w:r w:rsidRPr="00441968">
        <w:rPr>
          <w:rFonts w:ascii="Garamond" w:hAnsi="Garamond"/>
          <w:b/>
          <w:sz w:val="24"/>
          <w:szCs w:val="24"/>
        </w:rPr>
        <w:t xml:space="preserve">growth rates </w:t>
      </w:r>
      <w:r>
        <w:rPr>
          <w:rFonts w:ascii="Garamond" w:hAnsi="Garamond"/>
          <w:b/>
          <w:sz w:val="24"/>
          <w:szCs w:val="24"/>
        </w:rPr>
        <w:t>(1963-2014)</w:t>
      </w:r>
    </w:p>
    <w:p w:rsidR="00B61EA4" w:rsidRDefault="00B61EA4" w:rsidP="005A6301">
      <w:pPr>
        <w:spacing w:line="240" w:lineRule="auto"/>
        <w:jc w:val="both"/>
        <w:rPr>
          <w:rFonts w:ascii="Garamond" w:hAnsi="Garamond"/>
          <w:sz w:val="24"/>
          <w:szCs w:val="24"/>
        </w:rPr>
      </w:pPr>
      <w:r>
        <w:rPr>
          <w:noProof/>
        </w:rPr>
        <w:drawing>
          <wp:inline distT="0" distB="0" distL="0" distR="0">
            <wp:extent cx="1870364" cy="2743200"/>
            <wp:effectExtent l="0" t="0" r="1587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extent cx="2015779" cy="2743200"/>
            <wp:effectExtent l="0" t="0" r="381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extent cx="2050473" cy="2743200"/>
            <wp:effectExtent l="0" t="0" r="698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A6301" w:rsidRPr="00B97535" w:rsidRDefault="005A6301" w:rsidP="005A6301">
      <w:pPr>
        <w:spacing w:line="240" w:lineRule="auto"/>
        <w:jc w:val="both"/>
        <w:rPr>
          <w:rFonts w:ascii="Garamond" w:hAnsi="Garamond"/>
          <w:i/>
          <w:sz w:val="24"/>
          <w:szCs w:val="24"/>
        </w:rPr>
      </w:pPr>
      <w:r w:rsidRPr="00B97535">
        <w:rPr>
          <w:rFonts w:ascii="Garamond" w:hAnsi="Garamond"/>
          <w:i/>
          <w:sz w:val="24"/>
          <w:szCs w:val="24"/>
        </w:rPr>
        <w:t xml:space="preserve">Source: </w:t>
      </w:r>
      <w:r w:rsidR="008C7C22" w:rsidRPr="00B97535">
        <w:rPr>
          <w:rFonts w:ascii="Garamond" w:hAnsi="Garamond"/>
          <w:i/>
          <w:sz w:val="24"/>
          <w:szCs w:val="24"/>
        </w:rPr>
        <w:t xml:space="preserve">Calculated from </w:t>
      </w:r>
      <w:r w:rsidRPr="00B97535">
        <w:rPr>
          <w:rFonts w:ascii="Garamond" w:hAnsi="Garamond"/>
          <w:i/>
          <w:sz w:val="24"/>
          <w:szCs w:val="24"/>
        </w:rPr>
        <w:t>World Bank| World Development Indicators</w:t>
      </w:r>
    </w:p>
    <w:p w:rsidR="004455AD" w:rsidRDefault="005A6301" w:rsidP="005A6301">
      <w:pPr>
        <w:spacing w:line="360" w:lineRule="auto"/>
        <w:jc w:val="both"/>
        <w:rPr>
          <w:noProof/>
        </w:rPr>
      </w:pPr>
      <w:r>
        <w:rPr>
          <w:rFonts w:ascii="Garamond" w:hAnsi="Garamond"/>
          <w:sz w:val="24"/>
          <w:szCs w:val="24"/>
        </w:rPr>
        <w:t>In the chart above it is revealed that both in the period</w:t>
      </w:r>
      <w:r w:rsidR="00485F40">
        <w:rPr>
          <w:rFonts w:ascii="Garamond" w:hAnsi="Garamond"/>
          <w:sz w:val="24"/>
          <w:szCs w:val="24"/>
        </w:rPr>
        <w:t>,</w:t>
      </w:r>
      <w:r>
        <w:rPr>
          <w:rFonts w:ascii="Garamond" w:hAnsi="Garamond"/>
          <w:sz w:val="24"/>
          <w:szCs w:val="24"/>
        </w:rPr>
        <w:t xml:space="preserve"> 1963-1990 and 1991-2014, </w:t>
      </w:r>
      <w:r w:rsidR="00895B73">
        <w:rPr>
          <w:rFonts w:ascii="Garamond" w:hAnsi="Garamond"/>
          <w:sz w:val="24"/>
          <w:szCs w:val="24"/>
        </w:rPr>
        <w:t xml:space="preserve">the </w:t>
      </w:r>
      <w:r>
        <w:rPr>
          <w:rFonts w:ascii="Garamond" w:hAnsi="Garamond"/>
          <w:sz w:val="24"/>
          <w:szCs w:val="24"/>
        </w:rPr>
        <w:t>average GDP growth rates for all the years</w:t>
      </w:r>
      <w:r w:rsidR="00895B73">
        <w:rPr>
          <w:rFonts w:ascii="Garamond" w:hAnsi="Garamond"/>
          <w:sz w:val="24"/>
          <w:szCs w:val="24"/>
        </w:rPr>
        <w:t xml:space="preserve"> </w:t>
      </w:r>
      <w:r>
        <w:rPr>
          <w:rFonts w:ascii="Garamond" w:hAnsi="Garamond"/>
          <w:sz w:val="24"/>
          <w:szCs w:val="24"/>
        </w:rPr>
        <w:t xml:space="preserve">with exception of election years are higher than the average GDP growth rates for all the years </w:t>
      </w:r>
      <w:r w:rsidR="00895B73">
        <w:rPr>
          <w:rFonts w:ascii="Garamond" w:hAnsi="Garamond"/>
          <w:sz w:val="24"/>
          <w:szCs w:val="24"/>
        </w:rPr>
        <w:t>that include</w:t>
      </w:r>
      <w:r>
        <w:rPr>
          <w:rFonts w:ascii="Garamond" w:hAnsi="Garamond"/>
          <w:sz w:val="24"/>
          <w:szCs w:val="24"/>
        </w:rPr>
        <w:t xml:space="preserve"> the election years. F</w:t>
      </w:r>
      <w:r w:rsidR="00D30A81">
        <w:rPr>
          <w:rFonts w:ascii="Garamond" w:hAnsi="Garamond"/>
          <w:sz w:val="24"/>
          <w:szCs w:val="24"/>
        </w:rPr>
        <w:t xml:space="preserve">or the period, 1963-1990, the difference is 0.13%, for the period, 1991-2014, the difference is 0.25% and the difference for the entire period, 1963-2014, the difference is 0.24%. </w:t>
      </w:r>
      <w:r w:rsidR="005359E1">
        <w:rPr>
          <w:rFonts w:ascii="Garamond" w:hAnsi="Garamond"/>
          <w:sz w:val="24"/>
          <w:szCs w:val="24"/>
        </w:rPr>
        <w:t>A larger</w:t>
      </w:r>
      <w:r w:rsidR="00D30A81">
        <w:rPr>
          <w:rFonts w:ascii="Garamond" w:hAnsi="Garamond"/>
          <w:sz w:val="24"/>
          <w:szCs w:val="24"/>
        </w:rPr>
        <w:t xml:space="preserve"> difference</w:t>
      </w:r>
      <w:r w:rsidR="005359E1">
        <w:rPr>
          <w:rFonts w:ascii="Garamond" w:hAnsi="Garamond"/>
          <w:sz w:val="24"/>
          <w:szCs w:val="24"/>
        </w:rPr>
        <w:t xml:space="preserve"> in</w:t>
      </w:r>
      <w:r w:rsidR="00D30A81">
        <w:rPr>
          <w:rFonts w:ascii="Garamond" w:hAnsi="Garamond"/>
          <w:sz w:val="24"/>
          <w:szCs w:val="24"/>
        </w:rPr>
        <w:t xml:space="preserve"> the average GDP</w:t>
      </w:r>
      <w:r w:rsidR="005359E1">
        <w:rPr>
          <w:rFonts w:ascii="Garamond" w:hAnsi="Garamond"/>
          <w:sz w:val="24"/>
          <w:szCs w:val="24"/>
        </w:rPr>
        <w:t xml:space="preserve"> rate in the period 1991-2014 of 0.25% confirms that elections had a negative impact on the GDP growth rate which was greater than in the period: 1963-1990.</w:t>
      </w:r>
      <w:r w:rsidR="004455AD" w:rsidRPr="004455AD">
        <w:rPr>
          <w:noProof/>
        </w:rPr>
        <w:t xml:space="preserve"> </w:t>
      </w:r>
    </w:p>
    <w:p w:rsidR="00895B73" w:rsidRDefault="00895B73" w:rsidP="005A6301">
      <w:pPr>
        <w:spacing w:line="360" w:lineRule="auto"/>
        <w:jc w:val="both"/>
        <w:rPr>
          <w:noProof/>
        </w:rPr>
      </w:pPr>
    </w:p>
    <w:p w:rsidR="00895B73" w:rsidRDefault="00895B73" w:rsidP="005A6301">
      <w:pPr>
        <w:spacing w:line="360" w:lineRule="auto"/>
        <w:jc w:val="both"/>
        <w:rPr>
          <w:noProof/>
        </w:rPr>
      </w:pPr>
    </w:p>
    <w:p w:rsidR="00895B73" w:rsidRDefault="00895B73" w:rsidP="005A6301">
      <w:pPr>
        <w:spacing w:line="360" w:lineRule="auto"/>
        <w:jc w:val="both"/>
        <w:rPr>
          <w:noProof/>
        </w:rPr>
      </w:pPr>
    </w:p>
    <w:p w:rsidR="004455AD" w:rsidRDefault="00872B40" w:rsidP="005A6301">
      <w:pPr>
        <w:spacing w:line="360" w:lineRule="auto"/>
        <w:jc w:val="both"/>
        <w:rPr>
          <w:noProof/>
        </w:rPr>
      </w:pPr>
      <w:r w:rsidRPr="00872B40">
        <w:rPr>
          <w:rFonts w:ascii="Garamond" w:hAnsi="Garamond"/>
          <w:noProof/>
          <w:sz w:val="24"/>
          <w:szCs w:val="24"/>
        </w:rPr>
        <w:t xml:space="preserve">In the chart below, we further examine the GDP growth rates on the years that are mid way to elections i.e years that </w:t>
      </w:r>
      <w:r w:rsidR="00895B73">
        <w:rPr>
          <w:rFonts w:ascii="Garamond" w:hAnsi="Garamond"/>
          <w:noProof/>
          <w:sz w:val="24"/>
          <w:szCs w:val="24"/>
        </w:rPr>
        <w:t>are though to be</w:t>
      </w:r>
      <w:r w:rsidRPr="00872B40">
        <w:rPr>
          <w:rFonts w:ascii="Garamond" w:hAnsi="Garamond"/>
          <w:noProof/>
          <w:sz w:val="24"/>
          <w:szCs w:val="24"/>
        </w:rPr>
        <w:t xml:space="preserve"> farthest from the election year and thus by assumption experience minimum effects of election campaigns. The GDP growth rates for these years are compared with the GDP growth rates on election years. This is illustrated in Chart 3 below. </w:t>
      </w:r>
    </w:p>
    <w:p w:rsidR="00B97535" w:rsidRDefault="00B97535">
      <w:pPr>
        <w:rPr>
          <w:noProof/>
        </w:rPr>
      </w:pPr>
    </w:p>
    <w:p w:rsidR="005A6301" w:rsidRPr="00B97535" w:rsidRDefault="00394C72" w:rsidP="005A6301">
      <w:pPr>
        <w:spacing w:line="360" w:lineRule="auto"/>
        <w:jc w:val="both"/>
        <w:rPr>
          <w:rFonts w:ascii="Garamond" w:hAnsi="Garamond"/>
          <w:b/>
          <w:sz w:val="24"/>
          <w:szCs w:val="24"/>
        </w:rPr>
      </w:pPr>
      <w:r>
        <w:rPr>
          <w:noProof/>
        </w:rPr>
        <w:t xml:space="preserve"> </w:t>
      </w:r>
      <w:r w:rsidR="002B3DF3" w:rsidRPr="00B97535">
        <w:rPr>
          <w:rFonts w:ascii="Garamond" w:hAnsi="Garamond"/>
          <w:b/>
          <w:noProof/>
        </w:rPr>
        <w:t xml:space="preserve">Chart 3: </w:t>
      </w:r>
      <w:r w:rsidRPr="00B97535">
        <w:rPr>
          <w:rFonts w:ascii="Garamond" w:hAnsi="Garamond"/>
          <w:b/>
          <w:noProof/>
        </w:rPr>
        <w:t>Gdp Grow</w:t>
      </w:r>
      <w:r w:rsidR="00614153" w:rsidRPr="00B97535">
        <w:rPr>
          <w:rFonts w:ascii="Garamond" w:hAnsi="Garamond"/>
          <w:b/>
          <w:noProof/>
        </w:rPr>
        <w:t>th Rates (%) on Election Years and on Years Mid Way t</w:t>
      </w:r>
      <w:r w:rsidRPr="00B97535">
        <w:rPr>
          <w:rFonts w:ascii="Garamond" w:hAnsi="Garamond"/>
          <w:b/>
          <w:noProof/>
        </w:rPr>
        <w:t xml:space="preserve">o </w:t>
      </w:r>
      <w:r w:rsidR="007A48C2">
        <w:rPr>
          <w:rFonts w:ascii="Garamond" w:hAnsi="Garamond"/>
          <w:b/>
          <w:noProof/>
        </w:rPr>
        <w:t xml:space="preserve">General </w:t>
      </w:r>
      <w:r w:rsidRPr="00B97535">
        <w:rPr>
          <w:rFonts w:ascii="Garamond" w:hAnsi="Garamond"/>
          <w:b/>
          <w:noProof/>
        </w:rPr>
        <w:t>Elections</w:t>
      </w:r>
    </w:p>
    <w:p w:rsidR="005359E1" w:rsidRDefault="005359E1" w:rsidP="005A6301">
      <w:pPr>
        <w:spacing w:line="360" w:lineRule="auto"/>
        <w:jc w:val="both"/>
        <w:rPr>
          <w:rFonts w:ascii="Garamond" w:hAnsi="Garamond"/>
          <w:sz w:val="24"/>
          <w:szCs w:val="24"/>
        </w:rPr>
      </w:pPr>
      <w:r>
        <w:rPr>
          <w:rFonts w:ascii="Garamond" w:hAnsi="Garamond"/>
          <w:sz w:val="24"/>
          <w:szCs w:val="24"/>
        </w:rPr>
        <w:t xml:space="preserve"> </w:t>
      </w:r>
      <w:r w:rsidR="00394C72">
        <w:rPr>
          <w:noProof/>
        </w:rPr>
        <w:drawing>
          <wp:inline distT="0" distB="0" distL="0" distR="0">
            <wp:extent cx="3110345" cy="2743200"/>
            <wp:effectExtent l="0" t="0" r="1397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394C72">
        <w:rPr>
          <w:noProof/>
        </w:rPr>
        <w:drawing>
          <wp:inline distT="0" distB="0" distL="0" distR="0">
            <wp:extent cx="2791691" cy="2743200"/>
            <wp:effectExtent l="0" t="0" r="889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F19FB" w:rsidRDefault="00872B40" w:rsidP="005A6301">
      <w:pPr>
        <w:spacing w:line="360" w:lineRule="auto"/>
        <w:jc w:val="both"/>
        <w:rPr>
          <w:rFonts w:ascii="Garamond" w:hAnsi="Garamond"/>
          <w:sz w:val="24"/>
          <w:szCs w:val="24"/>
        </w:rPr>
      </w:pPr>
      <w:r>
        <w:rPr>
          <w:rFonts w:ascii="Garamond" w:hAnsi="Garamond"/>
          <w:sz w:val="24"/>
          <w:szCs w:val="24"/>
        </w:rPr>
        <w:t xml:space="preserve">Source: World Bank </w:t>
      </w:r>
    </w:p>
    <w:p w:rsidR="00872B40" w:rsidRDefault="0004310D" w:rsidP="005A6301">
      <w:pPr>
        <w:spacing w:line="360" w:lineRule="auto"/>
        <w:jc w:val="both"/>
        <w:rPr>
          <w:rFonts w:ascii="Garamond" w:hAnsi="Garamond"/>
          <w:sz w:val="24"/>
          <w:szCs w:val="24"/>
        </w:rPr>
      </w:pPr>
      <w:r>
        <w:rPr>
          <w:rFonts w:ascii="Garamond" w:hAnsi="Garamond"/>
          <w:sz w:val="24"/>
          <w:szCs w:val="24"/>
        </w:rPr>
        <w:t>As revealed in the C</w:t>
      </w:r>
      <w:r w:rsidR="00872B40">
        <w:rPr>
          <w:rFonts w:ascii="Garamond" w:hAnsi="Garamond"/>
          <w:sz w:val="24"/>
          <w:szCs w:val="24"/>
        </w:rPr>
        <w:t>hart</w:t>
      </w:r>
      <w:r>
        <w:rPr>
          <w:rFonts w:ascii="Garamond" w:hAnsi="Garamond"/>
          <w:sz w:val="24"/>
          <w:szCs w:val="24"/>
        </w:rPr>
        <w:t xml:space="preserve"> 3</w:t>
      </w:r>
      <w:r w:rsidR="00872B40">
        <w:rPr>
          <w:rFonts w:ascii="Garamond" w:hAnsi="Garamond"/>
          <w:sz w:val="24"/>
          <w:szCs w:val="24"/>
        </w:rPr>
        <w:t xml:space="preserve"> above, GDP growth rates on years</w:t>
      </w:r>
      <w:r>
        <w:rPr>
          <w:rFonts w:ascii="Garamond" w:hAnsi="Garamond"/>
          <w:sz w:val="24"/>
          <w:szCs w:val="24"/>
        </w:rPr>
        <w:t xml:space="preserve"> that are</w:t>
      </w:r>
      <w:r w:rsidR="00872B40">
        <w:rPr>
          <w:rFonts w:ascii="Garamond" w:hAnsi="Garamond"/>
          <w:sz w:val="24"/>
          <w:szCs w:val="24"/>
        </w:rPr>
        <w:t xml:space="preserve"> mid-way to </w:t>
      </w:r>
      <w:r w:rsidR="007A48C2">
        <w:rPr>
          <w:rFonts w:ascii="Garamond" w:hAnsi="Garamond"/>
          <w:sz w:val="24"/>
          <w:szCs w:val="24"/>
        </w:rPr>
        <w:t xml:space="preserve">general </w:t>
      </w:r>
      <w:r w:rsidR="00872B40">
        <w:rPr>
          <w:rFonts w:ascii="Garamond" w:hAnsi="Garamond"/>
          <w:sz w:val="24"/>
          <w:szCs w:val="24"/>
        </w:rPr>
        <w:t>elections are generally higher with an average mean of 6.6% than the GDP growth rates on election years which have a mean GDP growth rate of 4.0%.</w:t>
      </w:r>
    </w:p>
    <w:p w:rsidR="006F6D42" w:rsidRDefault="00872B40" w:rsidP="00485F40">
      <w:pPr>
        <w:spacing w:line="360" w:lineRule="auto"/>
        <w:jc w:val="both"/>
        <w:rPr>
          <w:rFonts w:ascii="Garamond" w:hAnsi="Garamond"/>
          <w:sz w:val="24"/>
          <w:szCs w:val="24"/>
        </w:rPr>
      </w:pPr>
      <w:r>
        <w:rPr>
          <w:rFonts w:ascii="Garamond" w:hAnsi="Garamond"/>
          <w:sz w:val="24"/>
          <w:szCs w:val="24"/>
        </w:rPr>
        <w:t>At this point</w:t>
      </w:r>
      <w:r w:rsidR="00D31471">
        <w:rPr>
          <w:rFonts w:ascii="Garamond" w:hAnsi="Garamond"/>
          <w:sz w:val="24"/>
          <w:szCs w:val="24"/>
        </w:rPr>
        <w:t>,</w:t>
      </w:r>
      <w:r>
        <w:rPr>
          <w:rFonts w:ascii="Garamond" w:hAnsi="Garamond"/>
          <w:sz w:val="24"/>
          <w:szCs w:val="24"/>
        </w:rPr>
        <w:t xml:space="preserve"> all the previous analyses </w:t>
      </w:r>
      <w:r w:rsidR="00481AFC">
        <w:rPr>
          <w:rFonts w:ascii="Garamond" w:hAnsi="Garamond"/>
          <w:sz w:val="24"/>
          <w:szCs w:val="24"/>
        </w:rPr>
        <w:t xml:space="preserve">confirm that election </w:t>
      </w:r>
      <w:r w:rsidR="007A48C2">
        <w:rPr>
          <w:rFonts w:ascii="Garamond" w:hAnsi="Garamond"/>
          <w:sz w:val="24"/>
          <w:szCs w:val="24"/>
        </w:rPr>
        <w:t>years</w:t>
      </w:r>
      <w:r w:rsidR="00481AFC">
        <w:rPr>
          <w:rFonts w:ascii="Garamond" w:hAnsi="Garamond"/>
          <w:sz w:val="24"/>
          <w:szCs w:val="24"/>
        </w:rPr>
        <w:t xml:space="preserve"> registered</w:t>
      </w:r>
      <w:r w:rsidR="00C8104B">
        <w:rPr>
          <w:rFonts w:ascii="Garamond" w:hAnsi="Garamond"/>
          <w:sz w:val="24"/>
          <w:szCs w:val="24"/>
        </w:rPr>
        <w:t xml:space="preserve"> </w:t>
      </w:r>
      <w:r w:rsidR="00481AFC">
        <w:rPr>
          <w:rFonts w:ascii="Garamond" w:hAnsi="Garamond"/>
          <w:sz w:val="24"/>
          <w:szCs w:val="24"/>
        </w:rPr>
        <w:t xml:space="preserve">generally lower GDP growth rates when compared to years that had no elections. This therefore leads to a conclusion that indeed election politics have significantly reduced the economic progress of the country. </w:t>
      </w:r>
    </w:p>
    <w:p w:rsidR="006F6D42" w:rsidRDefault="006F6D42" w:rsidP="00485F40">
      <w:pPr>
        <w:spacing w:line="360" w:lineRule="auto"/>
        <w:jc w:val="both"/>
        <w:rPr>
          <w:rFonts w:ascii="Garamond" w:hAnsi="Garamond"/>
          <w:sz w:val="24"/>
          <w:szCs w:val="24"/>
        </w:rPr>
      </w:pPr>
    </w:p>
    <w:p w:rsidR="00F82C95" w:rsidRPr="006F6D42" w:rsidRDefault="006F6D42" w:rsidP="006F6D42">
      <w:pPr>
        <w:spacing w:line="240" w:lineRule="auto"/>
        <w:jc w:val="both"/>
        <w:rPr>
          <w:rFonts w:ascii="Garamond" w:hAnsi="Garamond"/>
          <w:sz w:val="24"/>
          <w:szCs w:val="24"/>
        </w:rPr>
      </w:pPr>
      <w:r w:rsidRPr="0004310D">
        <w:rPr>
          <w:rFonts w:ascii="Garamond" w:hAnsi="Garamond"/>
          <w:b/>
          <w:sz w:val="24"/>
          <w:szCs w:val="24"/>
        </w:rPr>
        <w:t>Average number of years it takes for Kenya to rise from the lowest to the highest point in</w:t>
      </w:r>
      <w:r>
        <w:rPr>
          <w:rFonts w:ascii="Garamond" w:hAnsi="Garamond"/>
          <w:b/>
          <w:sz w:val="24"/>
          <w:szCs w:val="24"/>
        </w:rPr>
        <w:t xml:space="preserve"> </w:t>
      </w:r>
      <w:r w:rsidR="00485F40" w:rsidRPr="0004310D">
        <w:rPr>
          <w:rFonts w:ascii="Garamond" w:hAnsi="Garamond"/>
          <w:b/>
          <w:sz w:val="24"/>
          <w:szCs w:val="24"/>
        </w:rPr>
        <w:t>terms of GDP growth rate</w:t>
      </w:r>
      <w:r w:rsidR="00485F40">
        <w:rPr>
          <w:rFonts w:ascii="Garamond" w:hAnsi="Garamond"/>
          <w:b/>
          <w:sz w:val="24"/>
          <w:szCs w:val="24"/>
        </w:rPr>
        <w:t xml:space="preserve"> (</w:t>
      </w:r>
      <w:r w:rsidR="00485F40" w:rsidRPr="0004310D">
        <w:rPr>
          <w:rFonts w:ascii="Garamond" w:hAnsi="Garamond"/>
          <w:sz w:val="24"/>
          <w:szCs w:val="24"/>
        </w:rPr>
        <w:t>i.e. period between troughs and peaks in Chart 1 above</w:t>
      </w:r>
      <w:r w:rsidR="00485F40">
        <w:rPr>
          <w:rFonts w:ascii="Garamond" w:hAnsi="Garamond"/>
          <w:b/>
          <w:sz w:val="24"/>
          <w:szCs w:val="24"/>
        </w:rPr>
        <w:t>)</w:t>
      </w:r>
      <w:r>
        <w:rPr>
          <w:rFonts w:ascii="Garamond" w:hAnsi="Garamond"/>
          <w:noProof/>
          <w:sz w:val="24"/>
          <w:szCs w:val="24"/>
        </w:rPr>
        <mc:AlternateContent>
          <mc:Choice Requires="wps">
            <w:drawing>
              <wp:anchor distT="45720" distB="45720" distL="114300" distR="114300" simplePos="0" relativeHeight="251661312" behindDoc="0" locked="0" layoutInCell="1" allowOverlap="1">
                <wp:simplePos x="0" y="0"/>
                <wp:positionH relativeFrom="column">
                  <wp:posOffset>3474720</wp:posOffset>
                </wp:positionH>
                <wp:positionV relativeFrom="paragraph">
                  <wp:posOffset>662940</wp:posOffset>
                </wp:positionV>
                <wp:extent cx="2379980" cy="5273040"/>
                <wp:effectExtent l="0" t="0" r="19050" b="2286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9980" cy="5273040"/>
                        </a:xfrm>
                        <a:prstGeom prst="rect">
                          <a:avLst/>
                        </a:prstGeom>
                        <a:solidFill>
                          <a:srgbClr val="FFFFFF"/>
                        </a:solidFill>
                        <a:ln w="9525">
                          <a:solidFill>
                            <a:srgbClr val="000000"/>
                          </a:solidFill>
                          <a:miter lim="800000"/>
                          <a:headEnd/>
                          <a:tailEnd/>
                        </a:ln>
                      </wps:spPr>
                      <wps:txbx>
                        <w:txbxContent>
                          <w:tbl>
                            <w:tblPr>
                              <w:tblW w:w="3320" w:type="dxa"/>
                              <w:tblLook w:val="04A0" w:firstRow="1" w:lastRow="0" w:firstColumn="1" w:lastColumn="0" w:noHBand="0" w:noVBand="1"/>
                            </w:tblPr>
                            <w:tblGrid>
                              <w:gridCol w:w="2469"/>
                              <w:gridCol w:w="851"/>
                            </w:tblGrid>
                            <w:tr w:rsidR="00614D2E" w:rsidRPr="006722E9" w:rsidTr="006722E9">
                              <w:trPr>
                                <w:trHeight w:val="312"/>
                              </w:trPr>
                              <w:tc>
                                <w:tcPr>
                                  <w:tcW w:w="3320" w:type="dxa"/>
                                  <w:gridSpan w:val="2"/>
                                  <w:vMerge w:val="restart"/>
                                  <w:tcBorders>
                                    <w:top w:val="single" w:sz="4" w:space="0" w:color="auto"/>
                                    <w:left w:val="single" w:sz="4" w:space="0" w:color="auto"/>
                                    <w:bottom w:val="nil"/>
                                    <w:right w:val="single" w:sz="4" w:space="0" w:color="000000"/>
                                  </w:tcBorders>
                                  <w:shd w:val="clear" w:color="000000" w:fill="FFFFFF"/>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Table 2:                                </w:t>
                                  </w:r>
                                  <w:r w:rsidRPr="0004310D">
                                    <w:rPr>
                                      <w:rFonts w:ascii="Garamond" w:eastAsia="Times New Roman" w:hAnsi="Garamond" w:cs="Times New Roman"/>
                                      <w:b/>
                                      <w:color w:val="000000"/>
                                      <w:sz w:val="24"/>
                                      <w:szCs w:val="24"/>
                                    </w:rPr>
                                    <w:t>No. of years it takes for GDP rate to reach the peak (full recovery) from the lowest point (minimum rate)</w:t>
                                  </w: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1965-1966=</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1967-1968=</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1970-1971=</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1975-1977=</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1978-1979=</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1983-1986=</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3</w:t>
                                  </w:r>
                                </w:p>
                              </w:tc>
                            </w:tr>
                            <w:tr w:rsidR="00614D2E" w:rsidRPr="006722E9" w:rsidTr="006722E9">
                              <w:trPr>
                                <w:trHeight w:val="312"/>
                              </w:trPr>
                              <w:tc>
                                <w:tcPr>
                                  <w:tcW w:w="2469" w:type="dxa"/>
                                  <w:tcBorders>
                                    <w:top w:val="nil"/>
                                    <w:left w:val="single" w:sz="4" w:space="0" w:color="auto"/>
                                    <w:bottom w:val="single" w:sz="4" w:space="0" w:color="auto"/>
                                    <w:right w:val="nil"/>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average=</w:t>
                                  </w:r>
                                </w:p>
                              </w:tc>
                              <w:tc>
                                <w:tcPr>
                                  <w:tcW w:w="851" w:type="dxa"/>
                                  <w:tcBorders>
                                    <w:top w:val="nil"/>
                                    <w:left w:val="nil"/>
                                    <w:bottom w:val="single" w:sz="4" w:space="0" w:color="auto"/>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1.5</w:t>
                                  </w:r>
                                </w:p>
                              </w:tc>
                            </w:tr>
                            <w:tr w:rsidR="00614D2E" w:rsidRPr="006722E9" w:rsidTr="006722E9">
                              <w:trPr>
                                <w:trHeight w:val="312"/>
                              </w:trPr>
                              <w:tc>
                                <w:tcPr>
                                  <w:tcW w:w="2469"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r>
                            <w:tr w:rsidR="00614D2E" w:rsidRPr="006722E9" w:rsidTr="006722E9">
                              <w:trPr>
                                <w:trHeight w:val="312"/>
                              </w:trPr>
                              <w:tc>
                                <w:tcPr>
                                  <w:tcW w:w="2469" w:type="dxa"/>
                                  <w:tcBorders>
                                    <w:top w:val="single" w:sz="4" w:space="0" w:color="auto"/>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1992-1995 =</w:t>
                                  </w:r>
                                </w:p>
                              </w:tc>
                              <w:tc>
                                <w:tcPr>
                                  <w:tcW w:w="851" w:type="dxa"/>
                                  <w:tcBorders>
                                    <w:top w:val="single" w:sz="4" w:space="0" w:color="auto"/>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3</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1997-1998=</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2000-2001=</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2002-2007=</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5</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2008-2010=</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2012-2013=</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single" w:sz="4" w:space="0" w:color="auto"/>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r>
                            <w:tr w:rsidR="00614D2E" w:rsidRPr="006722E9" w:rsidTr="006722E9">
                              <w:trPr>
                                <w:trHeight w:val="312"/>
                              </w:trPr>
                              <w:tc>
                                <w:tcPr>
                                  <w:tcW w:w="2469" w:type="dxa"/>
                                  <w:tcBorders>
                                    <w:top w:val="nil"/>
                                    <w:left w:val="single" w:sz="4" w:space="0" w:color="auto"/>
                                    <w:bottom w:val="single" w:sz="4" w:space="0" w:color="auto"/>
                                    <w:right w:val="nil"/>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average=</w:t>
                                  </w:r>
                                </w:p>
                              </w:tc>
                              <w:tc>
                                <w:tcPr>
                                  <w:tcW w:w="851" w:type="dxa"/>
                                  <w:tcBorders>
                                    <w:top w:val="nil"/>
                                    <w:left w:val="nil"/>
                                    <w:bottom w:val="single" w:sz="4" w:space="0" w:color="auto"/>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2.2</w:t>
                                  </w:r>
                                </w:p>
                              </w:tc>
                            </w:tr>
                            <w:tr w:rsidR="00614D2E" w:rsidRPr="006722E9" w:rsidTr="006722E9">
                              <w:trPr>
                                <w:trHeight w:val="312"/>
                              </w:trPr>
                              <w:tc>
                                <w:tcPr>
                                  <w:tcW w:w="2469"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r>
                            <w:tr w:rsidR="00614D2E" w:rsidRPr="006722E9" w:rsidTr="006722E9">
                              <w:trPr>
                                <w:trHeight w:val="324"/>
                              </w:trPr>
                              <w:tc>
                                <w:tcPr>
                                  <w:tcW w:w="2469" w:type="dxa"/>
                                  <w:tcBorders>
                                    <w:top w:val="single" w:sz="4" w:space="0" w:color="auto"/>
                                    <w:left w:val="nil"/>
                                    <w:bottom w:val="double" w:sz="6" w:space="0" w:color="auto"/>
                                    <w:right w:val="nil"/>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single" w:sz="4" w:space="0" w:color="auto"/>
                                    <w:left w:val="nil"/>
                                    <w:bottom w:val="double" w:sz="6" w:space="0" w:color="auto"/>
                                    <w:right w:val="nil"/>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1.88</w:t>
                                  </w:r>
                                </w:p>
                              </w:tc>
                            </w:tr>
                          </w:tbl>
                          <w:p w:rsidR="00614D2E" w:rsidRDefault="00614D2E"/>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73.6pt;margin-top:52.2pt;width:187.4pt;height:415.2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">
                <v:textbox>
                  <w:txbxContent>
                    <w:tbl>
                      <w:tblPr>
                        <w:tblW w:w="3320" w:type="dxa"/>
                        <w:tblLook w:val="04A0" w:firstRow="1" w:lastRow="0" w:firstColumn="1" w:lastColumn="0" w:noHBand="0" w:noVBand="1"/>
                      </w:tblPr>
                      <w:tblGrid>
                        <w:gridCol w:w="2469"/>
                        <w:gridCol w:w="851"/>
                      </w:tblGrid>
                      <w:tr w:rsidR="00614D2E" w:rsidRPr="006722E9" w:rsidTr="006722E9">
                        <w:trPr>
                          <w:trHeight w:val="312"/>
                        </w:trPr>
                        <w:tc>
                          <w:tcPr>
                            <w:tcW w:w="3320" w:type="dxa"/>
                            <w:gridSpan w:val="2"/>
                            <w:vMerge w:val="restart"/>
                            <w:tcBorders>
                              <w:top w:val="single" w:sz="4" w:space="0" w:color="auto"/>
                              <w:left w:val="single" w:sz="4" w:space="0" w:color="auto"/>
                              <w:bottom w:val="nil"/>
                              <w:right w:val="single" w:sz="4" w:space="0" w:color="000000"/>
                            </w:tcBorders>
                            <w:shd w:val="clear" w:color="000000" w:fill="FFFFFF"/>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Table 2:                                </w:t>
                            </w:r>
                            <w:r w:rsidRPr="0004310D">
                              <w:rPr>
                                <w:rFonts w:ascii="Garamond" w:eastAsia="Times New Roman" w:hAnsi="Garamond" w:cs="Times New Roman"/>
                                <w:b/>
                                <w:color w:val="000000"/>
                                <w:sz w:val="24"/>
                                <w:szCs w:val="24"/>
                              </w:rPr>
                              <w:t>No. of years it takes for GDP rate to reach the peak (full recovery) from the lowest point (minimum rate)</w:t>
                            </w: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3320" w:type="dxa"/>
                            <w:gridSpan w:val="2"/>
                            <w:vMerge/>
                            <w:tcBorders>
                              <w:top w:val="single" w:sz="4" w:space="0" w:color="auto"/>
                              <w:left w:val="single" w:sz="4" w:space="0" w:color="auto"/>
                              <w:bottom w:val="nil"/>
                              <w:right w:val="single" w:sz="4" w:space="0" w:color="000000"/>
                            </w:tcBorders>
                            <w:vAlign w:val="center"/>
                            <w:hideMark/>
                          </w:tcPr>
                          <w:p w:rsidR="00614D2E" w:rsidRPr="006722E9" w:rsidRDefault="00614D2E" w:rsidP="006722E9">
                            <w:pPr>
                              <w:spacing w:after="0" w:line="240" w:lineRule="auto"/>
                              <w:rPr>
                                <w:rFonts w:ascii="Garamond" w:eastAsia="Times New Roman" w:hAnsi="Garamond" w:cs="Times New Roman"/>
                                <w:color w:val="000000"/>
                                <w:sz w:val="24"/>
                                <w:szCs w:val="24"/>
                              </w:rPr>
                            </w:pP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1965-1966=</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1967-1968=</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1970-1971=</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1975-1977=</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1978-1979=</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1983-1986=</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3</w:t>
                            </w:r>
                          </w:p>
                        </w:tc>
                      </w:tr>
                      <w:tr w:rsidR="00614D2E" w:rsidRPr="006722E9" w:rsidTr="006722E9">
                        <w:trPr>
                          <w:trHeight w:val="312"/>
                        </w:trPr>
                        <w:tc>
                          <w:tcPr>
                            <w:tcW w:w="2469" w:type="dxa"/>
                            <w:tcBorders>
                              <w:top w:val="nil"/>
                              <w:left w:val="single" w:sz="4" w:space="0" w:color="auto"/>
                              <w:bottom w:val="single" w:sz="4" w:space="0" w:color="auto"/>
                              <w:right w:val="nil"/>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average=</w:t>
                            </w:r>
                          </w:p>
                        </w:tc>
                        <w:tc>
                          <w:tcPr>
                            <w:tcW w:w="851" w:type="dxa"/>
                            <w:tcBorders>
                              <w:top w:val="nil"/>
                              <w:left w:val="nil"/>
                              <w:bottom w:val="single" w:sz="4" w:space="0" w:color="auto"/>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1.5</w:t>
                            </w:r>
                          </w:p>
                        </w:tc>
                      </w:tr>
                      <w:tr w:rsidR="00614D2E" w:rsidRPr="006722E9" w:rsidTr="006722E9">
                        <w:trPr>
                          <w:trHeight w:val="312"/>
                        </w:trPr>
                        <w:tc>
                          <w:tcPr>
                            <w:tcW w:w="2469"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r>
                      <w:tr w:rsidR="00614D2E" w:rsidRPr="006722E9" w:rsidTr="006722E9">
                        <w:trPr>
                          <w:trHeight w:val="312"/>
                        </w:trPr>
                        <w:tc>
                          <w:tcPr>
                            <w:tcW w:w="2469" w:type="dxa"/>
                            <w:tcBorders>
                              <w:top w:val="single" w:sz="4" w:space="0" w:color="auto"/>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1992-1995 =</w:t>
                            </w:r>
                          </w:p>
                        </w:tc>
                        <w:tc>
                          <w:tcPr>
                            <w:tcW w:w="851" w:type="dxa"/>
                            <w:tcBorders>
                              <w:top w:val="single" w:sz="4" w:space="0" w:color="auto"/>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3</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1997-1998=</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2000-2001=</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2002-2007=</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5</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2008-2010=</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w:t>
                            </w:r>
                          </w:p>
                        </w:tc>
                      </w:tr>
                      <w:tr w:rsidR="00614D2E" w:rsidRPr="006722E9" w:rsidTr="006722E9">
                        <w:trPr>
                          <w:trHeight w:val="312"/>
                        </w:trPr>
                        <w:tc>
                          <w:tcPr>
                            <w:tcW w:w="2469" w:type="dxa"/>
                            <w:tcBorders>
                              <w:top w:val="nil"/>
                              <w:left w:val="single" w:sz="4" w:space="0" w:color="auto"/>
                              <w:bottom w:val="nil"/>
                              <w:right w:val="single" w:sz="4" w:space="0" w:color="auto"/>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2012-2013=</w:t>
                            </w:r>
                          </w:p>
                        </w:tc>
                        <w:tc>
                          <w:tcPr>
                            <w:tcW w:w="851" w:type="dxa"/>
                            <w:tcBorders>
                              <w:top w:val="nil"/>
                              <w:left w:val="nil"/>
                              <w:bottom w:val="nil"/>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w:t>
                            </w:r>
                          </w:p>
                        </w:tc>
                      </w:tr>
                      <w:tr w:rsidR="00614D2E" w:rsidRPr="006722E9" w:rsidTr="006722E9">
                        <w:trPr>
                          <w:trHeight w:val="312"/>
                        </w:trPr>
                        <w:tc>
                          <w:tcPr>
                            <w:tcW w:w="2469" w:type="dxa"/>
                            <w:tcBorders>
                              <w:top w:val="nil"/>
                              <w:left w:val="single" w:sz="4" w:space="0" w:color="auto"/>
                              <w:bottom w:val="single" w:sz="4" w:space="0" w:color="auto"/>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nil"/>
                              <w:left w:val="nil"/>
                              <w:bottom w:val="single" w:sz="4" w:space="0" w:color="auto"/>
                              <w:right w:val="single" w:sz="4" w:space="0" w:color="auto"/>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r>
                      <w:tr w:rsidR="00614D2E" w:rsidRPr="006722E9" w:rsidTr="006722E9">
                        <w:trPr>
                          <w:trHeight w:val="312"/>
                        </w:trPr>
                        <w:tc>
                          <w:tcPr>
                            <w:tcW w:w="2469" w:type="dxa"/>
                            <w:tcBorders>
                              <w:top w:val="nil"/>
                              <w:left w:val="single" w:sz="4" w:space="0" w:color="auto"/>
                              <w:bottom w:val="single" w:sz="4" w:space="0" w:color="auto"/>
                              <w:right w:val="nil"/>
                            </w:tcBorders>
                            <w:shd w:val="clear" w:color="000000" w:fill="FFFFFF"/>
                            <w:noWrap/>
                            <w:vAlign w:val="bottom"/>
                            <w:hideMark/>
                          </w:tcPr>
                          <w:p w:rsidR="00614D2E" w:rsidRPr="006722E9" w:rsidRDefault="00614D2E" w:rsidP="006722E9">
                            <w:pPr>
                              <w:spacing w:after="0" w:line="240" w:lineRule="auto"/>
                              <w:jc w:val="right"/>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average=</w:t>
                            </w:r>
                          </w:p>
                        </w:tc>
                        <w:tc>
                          <w:tcPr>
                            <w:tcW w:w="851" w:type="dxa"/>
                            <w:tcBorders>
                              <w:top w:val="nil"/>
                              <w:left w:val="nil"/>
                              <w:bottom w:val="single" w:sz="4" w:space="0" w:color="auto"/>
                              <w:right w:val="single" w:sz="4" w:space="0" w:color="auto"/>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2.2</w:t>
                            </w:r>
                          </w:p>
                        </w:tc>
                      </w:tr>
                      <w:tr w:rsidR="00614D2E" w:rsidRPr="006722E9" w:rsidTr="006722E9">
                        <w:trPr>
                          <w:trHeight w:val="312"/>
                        </w:trPr>
                        <w:tc>
                          <w:tcPr>
                            <w:tcW w:w="2469"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nil"/>
                              <w:left w:val="nil"/>
                              <w:bottom w:val="nil"/>
                              <w:right w:val="nil"/>
                            </w:tcBorders>
                            <w:shd w:val="clear" w:color="000000" w:fill="FFFFFF"/>
                            <w:noWrap/>
                            <w:vAlign w:val="bottom"/>
                            <w:hideMark/>
                          </w:tcPr>
                          <w:p w:rsidR="00614D2E" w:rsidRPr="006722E9" w:rsidRDefault="00614D2E" w:rsidP="006722E9">
                            <w:pPr>
                              <w:spacing w:after="0" w:line="240" w:lineRule="auto"/>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r>
                      <w:tr w:rsidR="00614D2E" w:rsidRPr="006722E9" w:rsidTr="006722E9">
                        <w:trPr>
                          <w:trHeight w:val="324"/>
                        </w:trPr>
                        <w:tc>
                          <w:tcPr>
                            <w:tcW w:w="2469" w:type="dxa"/>
                            <w:tcBorders>
                              <w:top w:val="single" w:sz="4" w:space="0" w:color="auto"/>
                              <w:left w:val="nil"/>
                              <w:bottom w:val="double" w:sz="6" w:space="0" w:color="auto"/>
                              <w:right w:val="nil"/>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 </w:t>
                            </w:r>
                          </w:p>
                        </w:tc>
                        <w:tc>
                          <w:tcPr>
                            <w:tcW w:w="851" w:type="dxa"/>
                            <w:tcBorders>
                              <w:top w:val="single" w:sz="4" w:space="0" w:color="auto"/>
                              <w:left w:val="nil"/>
                              <w:bottom w:val="double" w:sz="6" w:space="0" w:color="auto"/>
                              <w:right w:val="nil"/>
                            </w:tcBorders>
                            <w:shd w:val="clear" w:color="000000" w:fill="FFFFFF"/>
                            <w:noWrap/>
                            <w:vAlign w:val="bottom"/>
                            <w:hideMark/>
                          </w:tcPr>
                          <w:p w:rsidR="00614D2E" w:rsidRPr="006722E9" w:rsidRDefault="00614D2E" w:rsidP="006722E9">
                            <w:pPr>
                              <w:spacing w:after="0" w:line="240" w:lineRule="auto"/>
                              <w:jc w:val="center"/>
                              <w:rPr>
                                <w:rFonts w:ascii="Garamond" w:eastAsia="Times New Roman" w:hAnsi="Garamond" w:cs="Times New Roman"/>
                                <w:color w:val="000000"/>
                                <w:sz w:val="24"/>
                                <w:szCs w:val="24"/>
                              </w:rPr>
                            </w:pPr>
                            <w:r w:rsidRPr="006722E9">
                              <w:rPr>
                                <w:rFonts w:ascii="Garamond" w:eastAsia="Times New Roman" w:hAnsi="Garamond" w:cs="Times New Roman"/>
                                <w:color w:val="000000"/>
                                <w:sz w:val="24"/>
                                <w:szCs w:val="24"/>
                              </w:rPr>
                              <w:t>1.88</w:t>
                            </w:r>
                          </w:p>
                        </w:tc>
                      </w:tr>
                    </w:tbl>
                    <w:p w:rsidR="00614D2E" w:rsidRDefault="00614D2E"/>
                  </w:txbxContent>
                </v:textbox>
                <w10:wrap type="square"/>
              </v:shape>
            </w:pict>
          </mc:Fallback>
        </mc:AlternateContent>
      </w:r>
      <w:r>
        <w:rPr>
          <w:rFonts w:ascii="Garamond" w:hAnsi="Garamond"/>
          <w:noProof/>
          <w:sz w:val="24"/>
          <w:szCs w:val="24"/>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662940</wp:posOffset>
                </wp:positionV>
                <wp:extent cx="3387090" cy="528066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090" cy="5280660"/>
                        </a:xfrm>
                        <a:prstGeom prst="rect">
                          <a:avLst/>
                        </a:prstGeom>
                        <a:solidFill>
                          <a:srgbClr val="FFFFFF"/>
                        </a:solidFill>
                        <a:ln w="9525">
                          <a:solidFill>
                            <a:srgbClr val="000000"/>
                          </a:solidFill>
                          <a:miter lim="800000"/>
                          <a:headEnd/>
                          <a:tailEnd/>
                        </a:ln>
                      </wps:spPr>
                      <wps:txbx>
                        <w:txbxContent>
                          <w:p w:rsidR="00614D2E" w:rsidRDefault="00614D2E" w:rsidP="006722E9">
                            <w:pPr>
                              <w:spacing w:line="360" w:lineRule="auto"/>
                              <w:jc w:val="both"/>
                              <w:rPr>
                                <w:rFonts w:ascii="Garamond" w:hAnsi="Garamond"/>
                                <w:sz w:val="24"/>
                                <w:szCs w:val="24"/>
                              </w:rPr>
                            </w:pPr>
                            <w:r>
                              <w:rPr>
                                <w:rFonts w:ascii="Garamond" w:hAnsi="Garamond"/>
                                <w:sz w:val="24"/>
                                <w:szCs w:val="24"/>
                              </w:rPr>
                              <w:t xml:space="preserve">At this point we wish to find out, on average, the number of years it takes for the economy to recover from its lowest performance </w:t>
                            </w:r>
                            <w:r w:rsidR="00D31471">
                              <w:rPr>
                                <w:rFonts w:ascii="Garamond" w:hAnsi="Garamond"/>
                                <w:sz w:val="24"/>
                                <w:szCs w:val="24"/>
                              </w:rPr>
                              <w:t xml:space="preserve">to </w:t>
                            </w:r>
                            <w:r>
                              <w:rPr>
                                <w:rFonts w:ascii="Garamond" w:hAnsi="Garamond"/>
                                <w:sz w:val="24"/>
                                <w:szCs w:val="24"/>
                              </w:rPr>
                              <w:t>record the highest GDP growth. We examine this by analyzing the number of years it takes for the Kenyan economy to move from the trough (lowest point on the trend line in Chart 1) to the peak (the highest point on the trend line in Chart 1 above). This is summarized in Table 2. In the table, it is revealed that in the period: 1963-1990, it averagely took 1.5 years for Kenyan economy to move from the lowest point (trough) to the highest point in terms of GDP growth ra</w:t>
                            </w:r>
                            <w:r w:rsidR="007A48C2">
                              <w:rPr>
                                <w:rFonts w:ascii="Garamond" w:hAnsi="Garamond"/>
                                <w:sz w:val="24"/>
                                <w:szCs w:val="24"/>
                              </w:rPr>
                              <w:t>te. However, in the period: 1991</w:t>
                            </w:r>
                            <w:r>
                              <w:rPr>
                                <w:rFonts w:ascii="Garamond" w:hAnsi="Garamond"/>
                                <w:sz w:val="24"/>
                                <w:szCs w:val="24"/>
                              </w:rPr>
                              <w:t xml:space="preserve">-2014, it averagely took 2.2 years for Kenyan economy to  move from the lowest point to the highest point in terms of GDP growth rate. This suggests that it is taking a longer time for Kenya to recover in multipartyism than in the period before 1990. </w:t>
                            </w:r>
                          </w:p>
                          <w:p w:rsidR="00614D2E" w:rsidRDefault="00614D2E" w:rsidP="006722E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52.2pt;width:266.7pt;height:415.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">
                <v:textbox>
                  <w:txbxContent>
                    <w:p w:rsidR="00614D2E" w:rsidRDefault="00614D2E" w:rsidP="006722E9">
                      <w:pPr>
                        <w:spacing w:line="360" w:lineRule="auto"/>
                        <w:jc w:val="both"/>
                        <w:rPr>
                          <w:rFonts w:ascii="Garamond" w:hAnsi="Garamond"/>
                          <w:sz w:val="24"/>
                          <w:szCs w:val="24"/>
                        </w:rPr>
                      </w:pPr>
                      <w:r>
                        <w:rPr>
                          <w:rFonts w:ascii="Garamond" w:hAnsi="Garamond"/>
                          <w:sz w:val="24"/>
                          <w:szCs w:val="24"/>
                        </w:rPr>
                        <w:t xml:space="preserve">At this point we wish to find out, on average, the number of years it takes for the economy to recover from its lowest performance </w:t>
                      </w:r>
                      <w:r w:rsidR="00D31471">
                        <w:rPr>
                          <w:rFonts w:ascii="Garamond" w:hAnsi="Garamond"/>
                          <w:sz w:val="24"/>
                          <w:szCs w:val="24"/>
                        </w:rPr>
                        <w:t xml:space="preserve">to </w:t>
                      </w:r>
                      <w:r>
                        <w:rPr>
                          <w:rFonts w:ascii="Garamond" w:hAnsi="Garamond"/>
                          <w:sz w:val="24"/>
                          <w:szCs w:val="24"/>
                        </w:rPr>
                        <w:t>record the highest GDP growth. We examine this by analyzing the number of years it takes for the Kenyan economy to move from the trough (lowest point on the trend line in Chart 1) to the peak (the highest point on the trend line in Chart 1 above). This is summarized in Table 2. In the table, it is revealed that in the period: 1963-1990, it averagely took 1.5 years for Kenyan economy to move from the lowest point (trough) to the highest point in terms of GDP growth ra</w:t>
                      </w:r>
                      <w:r w:rsidR="007A48C2">
                        <w:rPr>
                          <w:rFonts w:ascii="Garamond" w:hAnsi="Garamond"/>
                          <w:sz w:val="24"/>
                          <w:szCs w:val="24"/>
                        </w:rPr>
                        <w:t>te. However, in the period: 1991</w:t>
                      </w:r>
                      <w:r>
                        <w:rPr>
                          <w:rFonts w:ascii="Garamond" w:hAnsi="Garamond"/>
                          <w:sz w:val="24"/>
                          <w:szCs w:val="24"/>
                        </w:rPr>
                        <w:t xml:space="preserve">-2014, it averagely took 2.2 years for Kenyan economy to  move from the lowest point to the highest point in terms of GDP growth rate. This suggests that it is taking a longer time for Kenya to recover in multipartyism than in the period before 1990. </w:t>
                      </w:r>
                    </w:p>
                    <w:p w:rsidR="00614D2E" w:rsidRDefault="00614D2E" w:rsidP="006722E9"/>
                  </w:txbxContent>
                </v:textbox>
                <w10:wrap type="square" anchorx="margin"/>
              </v:shape>
            </w:pict>
          </mc:Fallback>
        </mc:AlternateContent>
      </w:r>
    </w:p>
    <w:sectPr w:rsidR="00F82C95" w:rsidRPr="006F6D42" w:rsidSect="0097724D">
      <w:footerReference w:type="default" r:id="rId15"/>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5D5" w:rsidRDefault="000F75D5" w:rsidP="0042533C">
      <w:pPr>
        <w:spacing w:after="0" w:line="240" w:lineRule="auto"/>
      </w:pPr>
      <w:r>
        <w:separator/>
      </w:r>
    </w:p>
  </w:endnote>
  <w:endnote w:type="continuationSeparator" w:id="0">
    <w:p w:rsidR="000F75D5" w:rsidRDefault="000F75D5" w:rsidP="00425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5020503060202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3133632"/>
      <w:docPartObj>
        <w:docPartGallery w:val="Page Numbers (Bottom of Page)"/>
        <w:docPartUnique/>
      </w:docPartObj>
    </w:sdtPr>
    <w:sdtEndPr>
      <w:rPr>
        <w:noProof/>
      </w:rPr>
    </w:sdtEndPr>
    <w:sdtContent>
      <w:p w:rsidR="00614D2E" w:rsidRDefault="0006123B">
        <w:pPr>
          <w:pStyle w:val="Footer"/>
          <w:jc w:val="right"/>
        </w:pPr>
        <w:r>
          <w:fldChar w:fldCharType="begin"/>
        </w:r>
        <w:r>
          <w:instrText xml:space="preserve"> PAGE   \* MERGEFORMAT </w:instrText>
        </w:r>
        <w:r>
          <w:fldChar w:fldCharType="separate"/>
        </w:r>
        <w:r w:rsidR="00D80103">
          <w:rPr>
            <w:noProof/>
          </w:rPr>
          <w:t>2</w:t>
        </w:r>
        <w:r>
          <w:rPr>
            <w:noProof/>
          </w:rPr>
          <w:fldChar w:fldCharType="end"/>
        </w:r>
      </w:p>
    </w:sdtContent>
  </w:sdt>
  <w:p w:rsidR="00614D2E" w:rsidRDefault="00614D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5D5" w:rsidRDefault="000F75D5" w:rsidP="0042533C">
      <w:pPr>
        <w:spacing w:after="0" w:line="240" w:lineRule="auto"/>
      </w:pPr>
      <w:r>
        <w:separator/>
      </w:r>
    </w:p>
  </w:footnote>
  <w:footnote w:type="continuationSeparator" w:id="0">
    <w:p w:rsidR="000F75D5" w:rsidRDefault="000F75D5" w:rsidP="004253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423A7"/>
    <w:multiLevelType w:val="hybridMultilevel"/>
    <w:tmpl w:val="2B920E0E"/>
    <w:lvl w:ilvl="0" w:tplc="15444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5CC"/>
    <w:rsid w:val="00024D04"/>
    <w:rsid w:val="00041939"/>
    <w:rsid w:val="0004310D"/>
    <w:rsid w:val="0006123B"/>
    <w:rsid w:val="0006393A"/>
    <w:rsid w:val="000960BB"/>
    <w:rsid w:val="000D459F"/>
    <w:rsid w:val="000F75D5"/>
    <w:rsid w:val="0018069C"/>
    <w:rsid w:val="001D4ED5"/>
    <w:rsid w:val="00206468"/>
    <w:rsid w:val="00211FDF"/>
    <w:rsid w:val="002445CC"/>
    <w:rsid w:val="00275C6A"/>
    <w:rsid w:val="0029054D"/>
    <w:rsid w:val="00295C52"/>
    <w:rsid w:val="002A61D9"/>
    <w:rsid w:val="002B3DF3"/>
    <w:rsid w:val="002C2D24"/>
    <w:rsid w:val="003024B7"/>
    <w:rsid w:val="00310AA7"/>
    <w:rsid w:val="00314562"/>
    <w:rsid w:val="00357252"/>
    <w:rsid w:val="00394C72"/>
    <w:rsid w:val="00415DCB"/>
    <w:rsid w:val="0042533C"/>
    <w:rsid w:val="00441968"/>
    <w:rsid w:val="004455AD"/>
    <w:rsid w:val="00481AFC"/>
    <w:rsid w:val="00485F40"/>
    <w:rsid w:val="004A34C6"/>
    <w:rsid w:val="004D55C9"/>
    <w:rsid w:val="005359E1"/>
    <w:rsid w:val="005A6301"/>
    <w:rsid w:val="005D18C1"/>
    <w:rsid w:val="005E6090"/>
    <w:rsid w:val="005E6CE3"/>
    <w:rsid w:val="005F38B0"/>
    <w:rsid w:val="00600B7B"/>
    <w:rsid w:val="00614153"/>
    <w:rsid w:val="00614D2E"/>
    <w:rsid w:val="00615412"/>
    <w:rsid w:val="006216A0"/>
    <w:rsid w:val="006722E9"/>
    <w:rsid w:val="006800AB"/>
    <w:rsid w:val="006B7D45"/>
    <w:rsid w:val="006D51BA"/>
    <w:rsid w:val="006D57E1"/>
    <w:rsid w:val="006E0BD0"/>
    <w:rsid w:val="006E79DB"/>
    <w:rsid w:val="006F6D42"/>
    <w:rsid w:val="007A48C2"/>
    <w:rsid w:val="007B72F2"/>
    <w:rsid w:val="0081512E"/>
    <w:rsid w:val="008711DF"/>
    <w:rsid w:val="00872B40"/>
    <w:rsid w:val="00895B73"/>
    <w:rsid w:val="008C7C22"/>
    <w:rsid w:val="008D039D"/>
    <w:rsid w:val="009116F9"/>
    <w:rsid w:val="0097724D"/>
    <w:rsid w:val="00982D9F"/>
    <w:rsid w:val="009944C9"/>
    <w:rsid w:val="00995C47"/>
    <w:rsid w:val="009E0FC2"/>
    <w:rsid w:val="009F0BB7"/>
    <w:rsid w:val="00A3788A"/>
    <w:rsid w:val="00A516D6"/>
    <w:rsid w:val="00A51C29"/>
    <w:rsid w:val="00A82956"/>
    <w:rsid w:val="00AA7E45"/>
    <w:rsid w:val="00AD1E4C"/>
    <w:rsid w:val="00B10946"/>
    <w:rsid w:val="00B61EA4"/>
    <w:rsid w:val="00B8299F"/>
    <w:rsid w:val="00B97535"/>
    <w:rsid w:val="00BE22E6"/>
    <w:rsid w:val="00C41538"/>
    <w:rsid w:val="00C431FE"/>
    <w:rsid w:val="00C8104B"/>
    <w:rsid w:val="00CF723D"/>
    <w:rsid w:val="00D30A81"/>
    <w:rsid w:val="00D31471"/>
    <w:rsid w:val="00D66B15"/>
    <w:rsid w:val="00D80103"/>
    <w:rsid w:val="00DA1318"/>
    <w:rsid w:val="00DE5B21"/>
    <w:rsid w:val="00E401D8"/>
    <w:rsid w:val="00E42474"/>
    <w:rsid w:val="00E5352C"/>
    <w:rsid w:val="00EF6431"/>
    <w:rsid w:val="00F440EA"/>
    <w:rsid w:val="00F45822"/>
    <w:rsid w:val="00F82C95"/>
    <w:rsid w:val="00FA2086"/>
    <w:rsid w:val="00FB5D60"/>
    <w:rsid w:val="00FF19FB"/>
    <w:rsid w:val="00FF6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5F5C01-857C-48C9-98D3-0F435FAC6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6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253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2533C"/>
    <w:rPr>
      <w:sz w:val="20"/>
      <w:szCs w:val="20"/>
    </w:rPr>
  </w:style>
  <w:style w:type="character" w:styleId="FootnoteReference">
    <w:name w:val="footnote reference"/>
    <w:basedOn w:val="DefaultParagraphFont"/>
    <w:uiPriority w:val="99"/>
    <w:semiHidden/>
    <w:unhideWhenUsed/>
    <w:rsid w:val="0042533C"/>
    <w:rPr>
      <w:vertAlign w:val="superscript"/>
    </w:rPr>
  </w:style>
  <w:style w:type="character" w:styleId="Hyperlink">
    <w:name w:val="Hyperlink"/>
    <w:basedOn w:val="DefaultParagraphFont"/>
    <w:uiPriority w:val="99"/>
    <w:unhideWhenUsed/>
    <w:rsid w:val="0042533C"/>
    <w:rPr>
      <w:color w:val="0563C1" w:themeColor="hyperlink"/>
      <w:u w:val="single"/>
    </w:rPr>
  </w:style>
  <w:style w:type="paragraph" w:styleId="Header">
    <w:name w:val="header"/>
    <w:basedOn w:val="Normal"/>
    <w:link w:val="HeaderChar"/>
    <w:uiPriority w:val="99"/>
    <w:unhideWhenUsed/>
    <w:rsid w:val="00E401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01D8"/>
  </w:style>
  <w:style w:type="paragraph" w:styleId="Footer">
    <w:name w:val="footer"/>
    <w:basedOn w:val="Normal"/>
    <w:link w:val="FooterChar"/>
    <w:uiPriority w:val="99"/>
    <w:unhideWhenUsed/>
    <w:rsid w:val="00E401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01D8"/>
  </w:style>
  <w:style w:type="paragraph" w:styleId="ListParagraph">
    <w:name w:val="List Paragraph"/>
    <w:basedOn w:val="Normal"/>
    <w:uiPriority w:val="34"/>
    <w:qFormat/>
    <w:rsid w:val="00AD1E4C"/>
    <w:pPr>
      <w:ind w:left="720"/>
      <w:contextualSpacing/>
    </w:pPr>
  </w:style>
  <w:style w:type="character" w:styleId="FollowedHyperlink">
    <w:name w:val="FollowedHyperlink"/>
    <w:basedOn w:val="DefaultParagraphFont"/>
    <w:uiPriority w:val="99"/>
    <w:semiHidden/>
    <w:unhideWhenUsed/>
    <w:rsid w:val="00415DCB"/>
    <w:rPr>
      <w:color w:val="954F72" w:themeColor="followedHyperlink"/>
      <w:u w:val="single"/>
    </w:rPr>
  </w:style>
  <w:style w:type="paragraph" w:styleId="BalloonText">
    <w:name w:val="Balloon Text"/>
    <w:basedOn w:val="Normal"/>
    <w:link w:val="BalloonTextChar"/>
    <w:uiPriority w:val="99"/>
    <w:semiHidden/>
    <w:unhideWhenUsed/>
    <w:rsid w:val="002C2D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D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74034">
      <w:bodyDiv w:val="1"/>
      <w:marLeft w:val="0"/>
      <w:marRight w:val="0"/>
      <w:marTop w:val="0"/>
      <w:marBottom w:val="0"/>
      <w:divBdr>
        <w:top w:val="none" w:sz="0" w:space="0" w:color="auto"/>
        <w:left w:val="none" w:sz="0" w:space="0" w:color="auto"/>
        <w:bottom w:val="none" w:sz="0" w:space="0" w:color="auto"/>
        <w:right w:val="none" w:sz="0" w:space="0" w:color="auto"/>
      </w:divBdr>
    </w:div>
    <w:div w:id="148209172">
      <w:bodyDiv w:val="1"/>
      <w:marLeft w:val="0"/>
      <w:marRight w:val="0"/>
      <w:marTop w:val="0"/>
      <w:marBottom w:val="0"/>
      <w:divBdr>
        <w:top w:val="none" w:sz="0" w:space="0" w:color="auto"/>
        <w:left w:val="none" w:sz="0" w:space="0" w:color="auto"/>
        <w:bottom w:val="none" w:sz="0" w:space="0" w:color="auto"/>
        <w:right w:val="none" w:sz="0" w:space="0" w:color="auto"/>
      </w:divBdr>
    </w:div>
    <w:div w:id="526140417">
      <w:bodyDiv w:val="1"/>
      <w:marLeft w:val="0"/>
      <w:marRight w:val="0"/>
      <w:marTop w:val="0"/>
      <w:marBottom w:val="0"/>
      <w:divBdr>
        <w:top w:val="none" w:sz="0" w:space="0" w:color="auto"/>
        <w:left w:val="none" w:sz="0" w:space="0" w:color="auto"/>
        <w:bottom w:val="none" w:sz="0" w:space="0" w:color="auto"/>
        <w:right w:val="none" w:sz="0" w:space="0" w:color="auto"/>
      </w:divBdr>
    </w:div>
    <w:div w:id="611741920">
      <w:bodyDiv w:val="1"/>
      <w:marLeft w:val="0"/>
      <w:marRight w:val="0"/>
      <w:marTop w:val="0"/>
      <w:marBottom w:val="0"/>
      <w:divBdr>
        <w:top w:val="none" w:sz="0" w:space="0" w:color="auto"/>
        <w:left w:val="none" w:sz="0" w:space="0" w:color="auto"/>
        <w:bottom w:val="none" w:sz="0" w:space="0" w:color="auto"/>
        <w:right w:val="none" w:sz="0" w:space="0" w:color="auto"/>
      </w:divBdr>
    </w:div>
    <w:div w:id="823162446">
      <w:bodyDiv w:val="1"/>
      <w:marLeft w:val="0"/>
      <w:marRight w:val="0"/>
      <w:marTop w:val="0"/>
      <w:marBottom w:val="0"/>
      <w:divBdr>
        <w:top w:val="none" w:sz="0" w:space="0" w:color="auto"/>
        <w:left w:val="none" w:sz="0" w:space="0" w:color="auto"/>
        <w:bottom w:val="none" w:sz="0" w:space="0" w:color="auto"/>
        <w:right w:val="none" w:sz="0" w:space="0" w:color="auto"/>
      </w:divBdr>
    </w:div>
    <w:div w:id="1256402742">
      <w:bodyDiv w:val="1"/>
      <w:marLeft w:val="0"/>
      <w:marRight w:val="0"/>
      <w:marTop w:val="0"/>
      <w:marBottom w:val="0"/>
      <w:divBdr>
        <w:top w:val="none" w:sz="0" w:space="0" w:color="auto"/>
        <w:left w:val="none" w:sz="0" w:space="0" w:color="auto"/>
        <w:bottom w:val="none" w:sz="0" w:space="0" w:color="auto"/>
        <w:right w:val="none" w:sz="0" w:space="0" w:color="auto"/>
      </w:divBdr>
    </w:div>
    <w:div w:id="1459572557">
      <w:bodyDiv w:val="1"/>
      <w:marLeft w:val="0"/>
      <w:marRight w:val="0"/>
      <w:marTop w:val="0"/>
      <w:marBottom w:val="0"/>
      <w:divBdr>
        <w:top w:val="none" w:sz="0" w:space="0" w:color="auto"/>
        <w:left w:val="none" w:sz="0" w:space="0" w:color="auto"/>
        <w:bottom w:val="none" w:sz="0" w:space="0" w:color="auto"/>
        <w:right w:val="none" w:sz="0" w:space="0" w:color="auto"/>
      </w:divBdr>
    </w:div>
    <w:div w:id="1567569487">
      <w:bodyDiv w:val="1"/>
      <w:marLeft w:val="0"/>
      <w:marRight w:val="0"/>
      <w:marTop w:val="0"/>
      <w:marBottom w:val="0"/>
      <w:divBdr>
        <w:top w:val="none" w:sz="0" w:space="0" w:color="auto"/>
        <w:left w:val="none" w:sz="0" w:space="0" w:color="auto"/>
        <w:bottom w:val="none" w:sz="0" w:space="0" w:color="auto"/>
        <w:right w:val="none" w:sz="0" w:space="0" w:color="auto"/>
      </w:divBdr>
    </w:div>
    <w:div w:id="194946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tion.co.ke/video/-/1951480/3094120/-/v4945e/-/index.html" TargetMode="Externa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W:\PROJECTS\2015\Research\Research_NMG\1.%20Fact%20Check\34_GDP%20growth%20rate\GDP%20growth%20rat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W:\PROJECTS\2015\Research\Research_NMG\1.%20Fact%20Check\34_GDP%20growth%20rate\GDP%20growth%20rat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W:\PROJECTS\2015\Research\Research_NMG\1.%20Fact%20Check\34_GDP%20growth%20rate\GDP%20growth%20rat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W:\PROJECTS\2015\Research\Research_NMG\1.%20Fact%20Check\34_GDP%20growth%20rate\GDP%20growth%20rate.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W:\PROJECTS\2015\Research\Research_NMG\1.%20Fact%20Check\34_GDP%20growth%20rate\GDP%20growth%20rate.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W:\PROJECTS\2015\Research\Research_NMG\1.%20Fact%20Check\34_GDP%20growth%20rate\GDP%20growth%20rat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83739953490265"/>
          <c:y val="2.5366601902034977E-2"/>
          <c:w val="0.82317083772171795"/>
          <c:h val="0.95085625660428852"/>
        </c:manualLayout>
      </c:layout>
      <c:lineChart>
        <c:grouping val="standard"/>
        <c:varyColors val="0"/>
        <c:ser>
          <c:idx val="0"/>
          <c:order val="0"/>
          <c:tx>
            <c:strRef>
              <c:f>Sheet1!$D$4</c:f>
              <c:strCache>
                <c:ptCount val="1"/>
                <c:pt idx="0">
                  <c:v>GDP growth (annual %)</c:v>
                </c:pt>
              </c:strCache>
            </c:strRef>
          </c:tx>
          <c:spPr>
            <a:ln w="28575" cap="rnd">
              <a:solidFill>
                <a:srgbClr val="00B050"/>
              </a:solidFill>
              <a:round/>
            </a:ln>
            <a:effectLst/>
          </c:spPr>
          <c:marker>
            <c:symbol val="none"/>
          </c:marker>
          <c:dPt>
            <c:idx val="7"/>
            <c:bubble3D val="0"/>
            <c:spPr>
              <a:ln w="28575" cap="rnd">
                <a:solidFill>
                  <a:srgbClr val="00B050"/>
                </a:solidFill>
                <a:round/>
                <a:tailEnd w="med" len="sm"/>
              </a:ln>
              <a:effectLst/>
            </c:spPr>
          </c:dPt>
          <c:cat>
            <c:numRef>
              <c:f>Sheet1!$C$5:$C$56</c:f>
              <c:numCache>
                <c:formatCode>General</c:formatCode>
                <c:ptCount val="52"/>
                <c:pt idx="0">
                  <c:v>1963</c:v>
                </c:pt>
                <c:pt idx="1">
                  <c:v>1964</c:v>
                </c:pt>
                <c:pt idx="2">
                  <c:v>1965</c:v>
                </c:pt>
                <c:pt idx="3">
                  <c:v>1966</c:v>
                </c:pt>
                <c:pt idx="4">
                  <c:v>1967</c:v>
                </c:pt>
                <c:pt idx="5">
                  <c:v>1968</c:v>
                </c:pt>
                <c:pt idx="6">
                  <c:v>1969</c:v>
                </c:pt>
                <c:pt idx="7">
                  <c:v>1970</c:v>
                </c:pt>
                <c:pt idx="8">
                  <c:v>1971</c:v>
                </c:pt>
                <c:pt idx="9">
                  <c:v>1972</c:v>
                </c:pt>
                <c:pt idx="10">
                  <c:v>1973</c:v>
                </c:pt>
                <c:pt idx="11">
                  <c:v>1974</c:v>
                </c:pt>
                <c:pt idx="12">
                  <c:v>1975</c:v>
                </c:pt>
                <c:pt idx="13">
                  <c:v>1976</c:v>
                </c:pt>
                <c:pt idx="14">
                  <c:v>1977</c:v>
                </c:pt>
                <c:pt idx="15">
                  <c:v>1978</c:v>
                </c:pt>
                <c:pt idx="16">
                  <c:v>1979</c:v>
                </c:pt>
                <c:pt idx="17">
                  <c:v>1980</c:v>
                </c:pt>
                <c:pt idx="18">
                  <c:v>1981</c:v>
                </c:pt>
                <c:pt idx="19">
                  <c:v>1982</c:v>
                </c:pt>
                <c:pt idx="20">
                  <c:v>1983</c:v>
                </c:pt>
                <c:pt idx="21">
                  <c:v>1984</c:v>
                </c:pt>
                <c:pt idx="22">
                  <c:v>1985</c:v>
                </c:pt>
                <c:pt idx="23">
                  <c:v>1986</c:v>
                </c:pt>
                <c:pt idx="24">
                  <c:v>1987</c:v>
                </c:pt>
                <c:pt idx="25">
                  <c:v>1988</c:v>
                </c:pt>
                <c:pt idx="26">
                  <c:v>1989</c:v>
                </c:pt>
                <c:pt idx="27">
                  <c:v>1990</c:v>
                </c:pt>
                <c:pt idx="28">
                  <c:v>1991</c:v>
                </c:pt>
                <c:pt idx="29">
                  <c:v>1992</c:v>
                </c:pt>
                <c:pt idx="30">
                  <c:v>1993</c:v>
                </c:pt>
                <c:pt idx="31">
                  <c:v>1994</c:v>
                </c:pt>
                <c:pt idx="32">
                  <c:v>1995</c:v>
                </c:pt>
                <c:pt idx="33">
                  <c:v>1996</c:v>
                </c:pt>
                <c:pt idx="34">
                  <c:v>1997</c:v>
                </c:pt>
                <c:pt idx="35">
                  <c:v>1998</c:v>
                </c:pt>
                <c:pt idx="36">
                  <c:v>1999</c:v>
                </c:pt>
                <c:pt idx="37">
                  <c:v>2000</c:v>
                </c:pt>
                <c:pt idx="38">
                  <c:v>2001</c:v>
                </c:pt>
                <c:pt idx="39">
                  <c:v>2002</c:v>
                </c:pt>
                <c:pt idx="40">
                  <c:v>2003</c:v>
                </c:pt>
                <c:pt idx="41">
                  <c:v>2004</c:v>
                </c:pt>
                <c:pt idx="42">
                  <c:v>2005</c:v>
                </c:pt>
                <c:pt idx="43">
                  <c:v>2006</c:v>
                </c:pt>
                <c:pt idx="44">
                  <c:v>2007</c:v>
                </c:pt>
                <c:pt idx="45">
                  <c:v>2008</c:v>
                </c:pt>
                <c:pt idx="46">
                  <c:v>2009</c:v>
                </c:pt>
                <c:pt idx="47">
                  <c:v>2010</c:v>
                </c:pt>
                <c:pt idx="48">
                  <c:v>2011</c:v>
                </c:pt>
                <c:pt idx="49">
                  <c:v>2012</c:v>
                </c:pt>
                <c:pt idx="50">
                  <c:v>2013</c:v>
                </c:pt>
                <c:pt idx="51">
                  <c:v>2014</c:v>
                </c:pt>
              </c:numCache>
            </c:numRef>
          </c:cat>
          <c:val>
            <c:numRef>
              <c:f>Sheet1!$D$5:$D$56</c:f>
              <c:numCache>
                <c:formatCode>0.0</c:formatCode>
                <c:ptCount val="52"/>
                <c:pt idx="0">
                  <c:v>8.778340216230486</c:v>
                </c:pt>
                <c:pt idx="1">
                  <c:v>4.9644672879628331</c:v>
                </c:pt>
                <c:pt idx="2">
                  <c:v>2.0090941708295142</c:v>
                </c:pt>
                <c:pt idx="3">
                  <c:v>14.728566401775993</c:v>
                </c:pt>
                <c:pt idx="4">
                  <c:v>3.3612320322510532</c:v>
                </c:pt>
                <c:pt idx="5">
                  <c:v>7.9826899695325721</c:v>
                </c:pt>
                <c:pt idx="6">
                  <c:v>7.959224456082282</c:v>
                </c:pt>
                <c:pt idx="7">
                  <c:v>-4.6554469135628285</c:v>
                </c:pt>
                <c:pt idx="8">
                  <c:v>22.173891928008558</c:v>
                </c:pt>
                <c:pt idx="9">
                  <c:v>17.082429345007313</c:v>
                </c:pt>
                <c:pt idx="10">
                  <c:v>5.8965802146441035</c:v>
                </c:pt>
                <c:pt idx="11">
                  <c:v>4.0656173472308685</c:v>
                </c:pt>
                <c:pt idx="12">
                  <c:v>0.88220317844796581</c:v>
                </c:pt>
                <c:pt idx="13">
                  <c:v>2.1539644974098309</c:v>
                </c:pt>
                <c:pt idx="14">
                  <c:v>9.453797849369824</c:v>
                </c:pt>
                <c:pt idx="15">
                  <c:v>6.9124935466745541</c:v>
                </c:pt>
                <c:pt idx="16">
                  <c:v>7.6152260415942408</c:v>
                </c:pt>
                <c:pt idx="17">
                  <c:v>5.5919762065950334</c:v>
                </c:pt>
                <c:pt idx="18">
                  <c:v>3.7735441966442238</c:v>
                </c:pt>
                <c:pt idx="19">
                  <c:v>1.506478254475212</c:v>
                </c:pt>
                <c:pt idx="20">
                  <c:v>1.309050241717856</c:v>
                </c:pt>
                <c:pt idx="21">
                  <c:v>1.7552169769686969</c:v>
                </c:pt>
                <c:pt idx="22">
                  <c:v>4.300561819501695</c:v>
                </c:pt>
                <c:pt idx="23">
                  <c:v>7.1775553908737066</c:v>
                </c:pt>
                <c:pt idx="24">
                  <c:v>5.937107446107289</c:v>
                </c:pt>
                <c:pt idx="25">
                  <c:v>6.2031838198845577</c:v>
                </c:pt>
                <c:pt idx="26">
                  <c:v>4.6903487681229725</c:v>
                </c:pt>
                <c:pt idx="27">
                  <c:v>4.1920509742158441</c:v>
                </c:pt>
                <c:pt idx="28">
                  <c:v>1.4383467910851375</c:v>
                </c:pt>
                <c:pt idx="29">
                  <c:v>-0.79949395992763039</c:v>
                </c:pt>
                <c:pt idx="30">
                  <c:v>0.35319725637262422</c:v>
                </c:pt>
                <c:pt idx="31">
                  <c:v>2.632784518590328</c:v>
                </c:pt>
                <c:pt idx="32">
                  <c:v>4.4062165258050658</c:v>
                </c:pt>
                <c:pt idx="33">
                  <c:v>4.1468392671671497</c:v>
                </c:pt>
                <c:pt idx="34">
                  <c:v>0.4749019204840722</c:v>
                </c:pt>
                <c:pt idx="35">
                  <c:v>3.2902137230934585</c:v>
                </c:pt>
                <c:pt idx="36">
                  <c:v>2.3053885959187275</c:v>
                </c:pt>
                <c:pt idx="37">
                  <c:v>0.5996953916136365</c:v>
                </c:pt>
                <c:pt idx="38">
                  <c:v>3.7799064962898674</c:v>
                </c:pt>
                <c:pt idx="39">
                  <c:v>0.5468595299945207</c:v>
                </c:pt>
                <c:pt idx="40">
                  <c:v>2.9324755461927197</c:v>
                </c:pt>
                <c:pt idx="41">
                  <c:v>5.1042997756893413</c:v>
                </c:pt>
                <c:pt idx="42">
                  <c:v>5.9066660816801342</c:v>
                </c:pt>
                <c:pt idx="43">
                  <c:v>6.3306328046937086</c:v>
                </c:pt>
                <c:pt idx="44">
                  <c:v>6.9932851542782544</c:v>
                </c:pt>
                <c:pt idx="45" formatCode="0.00">
                  <c:v>0.23228274566594109</c:v>
                </c:pt>
                <c:pt idx="46" formatCode="0.00">
                  <c:v>3.3069398153475769</c:v>
                </c:pt>
                <c:pt idx="47" formatCode="0.00">
                  <c:v>8.4022770637024706</c:v>
                </c:pt>
                <c:pt idx="48" formatCode="0.00">
                  <c:v>6.1116134604128414</c:v>
                </c:pt>
                <c:pt idx="49" formatCode="0.00">
                  <c:v>4.5549124384567783</c:v>
                </c:pt>
                <c:pt idx="50" formatCode="0.00">
                  <c:v>5.6872313132210621</c:v>
                </c:pt>
                <c:pt idx="51" formatCode="0.00">
                  <c:v>5.3280577855996416</c:v>
                </c:pt>
              </c:numCache>
            </c:numRef>
          </c:val>
          <c:smooth val="1"/>
        </c:ser>
        <c:dLbls>
          <c:showLegendKey val="0"/>
          <c:showVal val="0"/>
          <c:showCatName val="0"/>
          <c:showSerName val="0"/>
          <c:showPercent val="0"/>
          <c:showBubbleSize val="0"/>
        </c:dLbls>
        <c:smooth val="0"/>
        <c:axId val="1095518448"/>
        <c:axId val="1095523888"/>
      </c:lineChart>
      <c:catAx>
        <c:axId val="1095518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523888"/>
        <c:crosses val="autoZero"/>
        <c:auto val="1"/>
        <c:lblAlgn val="ctr"/>
        <c:lblOffset val="100"/>
        <c:noMultiLvlLbl val="0"/>
      </c:catAx>
      <c:valAx>
        <c:axId val="1095523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GDP growth rates (%)</a:t>
                </a:r>
              </a:p>
            </c:rich>
          </c:tx>
          <c:layout>
            <c:manualLayout>
              <c:xMode val="edge"/>
              <c:yMode val="edge"/>
              <c:x val="6.7385444743935348E-3"/>
              <c:y val="0.12673109043187786"/>
            </c:manualLayout>
          </c:layout>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551844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Garamond" panose="02020502050306020203" pitchFamily="18" charset="0"/>
                <a:ea typeface="+mn-ea"/>
                <a:cs typeface="+mn-cs"/>
              </a:defRPr>
            </a:pPr>
            <a:r>
              <a:rPr lang="en-US">
                <a:latin typeface="Garamond" panose="02020502050306020203" pitchFamily="18" charset="0"/>
              </a:rPr>
              <a:t> (1963-1990)</a:t>
            </a:r>
          </a:p>
        </c:rich>
      </c:tx>
      <c:overlay val="0"/>
      <c:spPr>
        <a:noFill/>
        <a:ln>
          <a:noFill/>
        </a:ln>
        <a:effectLst/>
      </c:spPr>
    </c:title>
    <c:autoTitleDeleted val="0"/>
    <c:plotArea>
      <c:layout/>
      <c:barChart>
        <c:barDir val="col"/>
        <c:grouping val="clustered"/>
        <c:varyColors val="0"/>
        <c:ser>
          <c:idx val="0"/>
          <c:order val="0"/>
          <c:tx>
            <c:strRef>
              <c:f>Sheet1!$G$78</c:f>
              <c:strCache>
                <c:ptCount val="1"/>
                <c:pt idx="0">
                  <c:v>GDP growth rate</c:v>
                </c:pt>
              </c:strCache>
            </c:strRef>
          </c:tx>
          <c:spPr>
            <a:solidFill>
              <a:schemeClr val="accent1"/>
            </a:solidFill>
            <a:ln>
              <a:noFill/>
            </a:ln>
            <a:effectLst/>
          </c:spPr>
          <c:invertIfNegative val="0"/>
          <c:dPt>
            <c:idx val="0"/>
            <c:invertIfNegative val="0"/>
            <c:bubble3D val="0"/>
            <c:spPr>
              <a:solidFill>
                <a:srgbClr val="00B0F0"/>
              </a:solidFill>
              <a:ln>
                <a:noFill/>
              </a:ln>
              <a:effectLst/>
            </c:spPr>
          </c:dPt>
          <c:dPt>
            <c:idx val="1"/>
            <c:invertIfNegative val="0"/>
            <c:bubble3D val="0"/>
            <c:spPr>
              <a:solidFill>
                <a:srgbClr val="00B050"/>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Sheet1!$F$79:$F$80</c:f>
              <c:strCache>
                <c:ptCount val="2"/>
                <c:pt idx="0">
                  <c:v>All years including election years</c:v>
                </c:pt>
                <c:pt idx="1">
                  <c:v>All years with exception of election years</c:v>
                </c:pt>
              </c:strCache>
            </c:strRef>
          </c:cat>
          <c:val>
            <c:numRef>
              <c:f>Sheet1!$G$79:$G$80</c:f>
              <c:numCache>
                <c:formatCode>0.00</c:formatCode>
                <c:ptCount val="2"/>
                <c:pt idx="0">
                  <c:v>5.9929087737355795</c:v>
                </c:pt>
                <c:pt idx="1">
                  <c:v>6.1151801633950615</c:v>
                </c:pt>
              </c:numCache>
            </c:numRef>
          </c:val>
        </c:ser>
        <c:dLbls>
          <c:showLegendKey val="0"/>
          <c:showVal val="0"/>
          <c:showCatName val="0"/>
          <c:showSerName val="0"/>
          <c:showPercent val="0"/>
          <c:showBubbleSize val="0"/>
        </c:dLbls>
        <c:gapWidth val="219"/>
        <c:overlap val="-27"/>
        <c:axId val="1095520624"/>
        <c:axId val="1095522256"/>
      </c:barChart>
      <c:catAx>
        <c:axId val="1095520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aramond" panose="02020502050306020203" pitchFamily="18" charset="0"/>
                <a:ea typeface="+mn-ea"/>
                <a:cs typeface="+mn-cs"/>
              </a:defRPr>
            </a:pPr>
            <a:endParaRPr lang="en-US"/>
          </a:p>
        </c:txPr>
        <c:crossAx val="1095522256"/>
        <c:crosses val="autoZero"/>
        <c:auto val="1"/>
        <c:lblAlgn val="ctr"/>
        <c:lblOffset val="100"/>
        <c:noMultiLvlLbl val="0"/>
      </c:catAx>
      <c:valAx>
        <c:axId val="1095522256"/>
        <c:scaling>
          <c:orientation val="minMax"/>
        </c:scaling>
        <c:delete val="1"/>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GDP growth</a:t>
                </a:r>
                <a:r>
                  <a:rPr lang="en-US" baseline="0"/>
                  <a:t> rate (%)</a:t>
                </a:r>
                <a:endParaRPr lang="en-US"/>
              </a:p>
            </c:rich>
          </c:tx>
          <c:overlay val="0"/>
          <c:spPr>
            <a:noFill/>
            <a:ln>
              <a:noFill/>
            </a:ln>
            <a:effectLst/>
          </c:spPr>
        </c:title>
        <c:numFmt formatCode="0.00" sourceLinked="1"/>
        <c:majorTickMark val="none"/>
        <c:minorTickMark val="none"/>
        <c:tickLblPos val="none"/>
        <c:crossAx val="10955206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Garamond" panose="02020502050306020203" pitchFamily="18" charset="0"/>
                <a:ea typeface="+mn-ea"/>
                <a:cs typeface="+mn-cs"/>
              </a:defRPr>
            </a:pPr>
            <a:r>
              <a:rPr lang="en-US">
                <a:latin typeface="Garamond" panose="02020502050306020203" pitchFamily="18" charset="0"/>
              </a:rPr>
              <a:t>(1991-2014)</a:t>
            </a:r>
          </a:p>
        </c:rich>
      </c:tx>
      <c:overlay val="0"/>
      <c:spPr>
        <a:noFill/>
        <a:ln>
          <a:noFill/>
        </a:ln>
        <a:effectLst/>
      </c:spPr>
    </c:title>
    <c:autoTitleDeleted val="0"/>
    <c:plotArea>
      <c:layout/>
      <c:barChart>
        <c:barDir val="col"/>
        <c:grouping val="clustered"/>
        <c:varyColors val="0"/>
        <c:ser>
          <c:idx val="0"/>
          <c:order val="0"/>
          <c:tx>
            <c:strRef>
              <c:f>Sheet1!$G$94</c:f>
              <c:strCache>
                <c:ptCount val="1"/>
                <c:pt idx="0">
                  <c:v>GDP growth rate</c:v>
                </c:pt>
              </c:strCache>
            </c:strRef>
          </c:tx>
          <c:spPr>
            <a:solidFill>
              <a:schemeClr val="accent1"/>
            </a:solidFill>
            <a:ln>
              <a:noFill/>
            </a:ln>
            <a:effectLst/>
          </c:spPr>
          <c:invertIfNegative val="0"/>
          <c:dPt>
            <c:idx val="0"/>
            <c:invertIfNegative val="0"/>
            <c:bubble3D val="0"/>
            <c:spPr>
              <a:solidFill>
                <a:srgbClr val="00B0F0"/>
              </a:solidFill>
              <a:ln>
                <a:noFill/>
              </a:ln>
              <a:effectLst/>
            </c:spPr>
          </c:dPt>
          <c:dPt>
            <c:idx val="1"/>
            <c:invertIfNegative val="0"/>
            <c:bubble3D val="0"/>
            <c:spPr>
              <a:solidFill>
                <a:srgbClr val="00B050"/>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Sheet1!$F$95:$F$96</c:f>
              <c:strCache>
                <c:ptCount val="2"/>
                <c:pt idx="0">
                  <c:v>All years including election years</c:v>
                </c:pt>
                <c:pt idx="1">
                  <c:v>All years with exception of election years</c:v>
                </c:pt>
              </c:strCache>
            </c:strRef>
          </c:cat>
          <c:val>
            <c:numRef>
              <c:f>Sheet1!$G$95:$G$96</c:f>
              <c:numCache>
                <c:formatCode>0.00</c:formatCode>
                <c:ptCount val="2"/>
                <c:pt idx="0">
                  <c:v>3.5027304183928094</c:v>
                </c:pt>
                <c:pt idx="1">
                  <c:v>3.7454076885987972</c:v>
                </c:pt>
              </c:numCache>
            </c:numRef>
          </c:val>
        </c:ser>
        <c:dLbls>
          <c:showLegendKey val="0"/>
          <c:showVal val="0"/>
          <c:showCatName val="0"/>
          <c:showSerName val="0"/>
          <c:showPercent val="0"/>
          <c:showBubbleSize val="0"/>
        </c:dLbls>
        <c:gapWidth val="219"/>
        <c:overlap val="-27"/>
        <c:axId val="1095523344"/>
        <c:axId val="1220551184"/>
      </c:barChart>
      <c:catAx>
        <c:axId val="1095523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aramond" panose="02020502050306020203" pitchFamily="18" charset="0"/>
                <a:ea typeface="+mn-ea"/>
                <a:cs typeface="+mn-cs"/>
              </a:defRPr>
            </a:pPr>
            <a:endParaRPr lang="en-US"/>
          </a:p>
        </c:txPr>
        <c:crossAx val="1220551184"/>
        <c:crosses val="autoZero"/>
        <c:auto val="1"/>
        <c:lblAlgn val="ctr"/>
        <c:lblOffset val="100"/>
        <c:noMultiLvlLbl val="0"/>
      </c:catAx>
      <c:valAx>
        <c:axId val="1220551184"/>
        <c:scaling>
          <c:orientation val="minMax"/>
        </c:scaling>
        <c:delete val="1"/>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GDP growth rate (%)</a:t>
                </a:r>
              </a:p>
            </c:rich>
          </c:tx>
          <c:overlay val="0"/>
          <c:spPr>
            <a:noFill/>
            <a:ln>
              <a:noFill/>
            </a:ln>
            <a:effectLst/>
          </c:spPr>
        </c:title>
        <c:numFmt formatCode="0.00" sourceLinked="1"/>
        <c:majorTickMark val="none"/>
        <c:minorTickMark val="none"/>
        <c:tickLblPos val="none"/>
        <c:crossAx val="10955233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Garamond" panose="02020502050306020203" pitchFamily="18" charset="0"/>
                <a:ea typeface="+mn-ea"/>
                <a:cs typeface="+mn-cs"/>
              </a:defRPr>
            </a:pPr>
            <a:r>
              <a:rPr lang="en-US">
                <a:latin typeface="Garamond" panose="02020502050306020203" pitchFamily="18" charset="0"/>
              </a:rPr>
              <a:t>(1963-2014)</a:t>
            </a:r>
          </a:p>
        </c:rich>
      </c:tx>
      <c:overlay val="0"/>
      <c:spPr>
        <a:noFill/>
        <a:ln>
          <a:noFill/>
        </a:ln>
        <a:effectLst/>
      </c:spPr>
    </c:title>
    <c:autoTitleDeleted val="0"/>
    <c:plotArea>
      <c:layout/>
      <c:barChart>
        <c:barDir val="col"/>
        <c:grouping val="clustered"/>
        <c:varyColors val="0"/>
        <c:ser>
          <c:idx val="0"/>
          <c:order val="0"/>
          <c:tx>
            <c:strRef>
              <c:f>Sheet1!$G$64</c:f>
              <c:strCache>
                <c:ptCount val="1"/>
                <c:pt idx="0">
                  <c:v>GDP growth rate</c:v>
                </c:pt>
              </c:strCache>
            </c:strRef>
          </c:tx>
          <c:spPr>
            <a:solidFill>
              <a:schemeClr val="accent1"/>
            </a:solidFill>
            <a:ln>
              <a:noFill/>
            </a:ln>
            <a:effectLst/>
          </c:spPr>
          <c:invertIfNegative val="0"/>
          <c:dPt>
            <c:idx val="0"/>
            <c:invertIfNegative val="0"/>
            <c:bubble3D val="0"/>
            <c:spPr>
              <a:solidFill>
                <a:srgbClr val="00B0F0"/>
              </a:solidFill>
              <a:ln>
                <a:noFill/>
              </a:ln>
              <a:effectLst/>
            </c:spPr>
          </c:dPt>
          <c:dPt>
            <c:idx val="1"/>
            <c:invertIfNegative val="0"/>
            <c:bubble3D val="0"/>
            <c:spPr>
              <a:solidFill>
                <a:srgbClr val="00B050"/>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Sheet1!$F$65:$F$66</c:f>
              <c:strCache>
                <c:ptCount val="2"/>
                <c:pt idx="0">
                  <c:v>All years including election years</c:v>
                </c:pt>
                <c:pt idx="1">
                  <c:v>All years with exception of election years</c:v>
                </c:pt>
              </c:strCache>
            </c:strRef>
          </c:cat>
          <c:val>
            <c:numRef>
              <c:f>Sheet1!$G$65:$G$66</c:f>
              <c:numCache>
                <c:formatCode>0.00</c:formatCode>
                <c:ptCount val="2"/>
                <c:pt idx="0">
                  <c:v>3.5303032406257318</c:v>
                </c:pt>
                <c:pt idx="1">
                  <c:v>3.7677398528796511</c:v>
                </c:pt>
              </c:numCache>
            </c:numRef>
          </c:val>
        </c:ser>
        <c:dLbls>
          <c:showLegendKey val="0"/>
          <c:showVal val="0"/>
          <c:showCatName val="0"/>
          <c:showSerName val="0"/>
          <c:showPercent val="0"/>
          <c:showBubbleSize val="0"/>
        </c:dLbls>
        <c:gapWidth val="219"/>
        <c:overlap val="-27"/>
        <c:axId val="1220556624"/>
        <c:axId val="1220551728"/>
      </c:barChart>
      <c:catAx>
        <c:axId val="1220556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Garamond" panose="02020502050306020203" pitchFamily="18" charset="0"/>
                <a:ea typeface="+mn-ea"/>
                <a:cs typeface="+mn-cs"/>
              </a:defRPr>
            </a:pPr>
            <a:endParaRPr lang="en-US"/>
          </a:p>
        </c:txPr>
        <c:crossAx val="1220551728"/>
        <c:crosses val="autoZero"/>
        <c:auto val="1"/>
        <c:lblAlgn val="ctr"/>
        <c:lblOffset val="100"/>
        <c:noMultiLvlLbl val="0"/>
      </c:catAx>
      <c:valAx>
        <c:axId val="1220551728"/>
        <c:scaling>
          <c:orientation val="minMax"/>
        </c:scaling>
        <c:delete val="1"/>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GDP growth rate (%)</a:t>
                </a:r>
              </a:p>
            </c:rich>
          </c:tx>
          <c:overlay val="0"/>
          <c:spPr>
            <a:noFill/>
            <a:ln>
              <a:noFill/>
            </a:ln>
            <a:effectLst/>
          </c:spPr>
        </c:title>
        <c:numFmt formatCode="0.00" sourceLinked="1"/>
        <c:majorTickMark val="none"/>
        <c:minorTickMark val="none"/>
        <c:tickLblPos val="none"/>
        <c:crossAx val="1220556624"/>
        <c:crosses val="autoZero"/>
        <c:crossBetween val="between"/>
      </c:valAx>
      <c:spPr>
        <a:noFill/>
        <a:ln w="25400">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latin typeface="Garamond" panose="02020502050306020203" pitchFamily="18" charset="0"/>
              </a:rPr>
              <a:t>A)</a:t>
            </a:r>
            <a:r>
              <a:rPr lang="en-US" sz="1200" baseline="0">
                <a:latin typeface="Garamond" panose="02020502050306020203" pitchFamily="18" charset="0"/>
              </a:rPr>
              <a:t> </a:t>
            </a:r>
            <a:r>
              <a:rPr lang="en-US" sz="1200">
                <a:latin typeface="Garamond" panose="02020502050306020203" pitchFamily="18" charset="0"/>
              </a:rPr>
              <a:t>GDP growth rates (on years mid way to general elections)</a:t>
            </a:r>
          </a:p>
        </c:rich>
      </c:tx>
      <c:overlay val="0"/>
      <c:spPr>
        <a:noFill/>
        <a:ln>
          <a:noFill/>
        </a:ln>
        <a:effectLst/>
      </c:spPr>
    </c:title>
    <c:autoTitleDeleted val="0"/>
    <c:plotArea>
      <c:layout>
        <c:manualLayout>
          <c:layoutTarget val="inner"/>
          <c:xMode val="edge"/>
          <c:yMode val="edge"/>
          <c:x val="0.21234860444404438"/>
          <c:y val="0.25083333333333324"/>
          <c:w val="0.74273510319172564"/>
          <c:h val="0.4749387576552932"/>
        </c:manualLayout>
      </c:layout>
      <c:barChart>
        <c:barDir val="col"/>
        <c:grouping val="clustered"/>
        <c:varyColors val="0"/>
        <c:ser>
          <c:idx val="0"/>
          <c:order val="0"/>
          <c:tx>
            <c:strRef>
              <c:f>Sheet1!$C$115</c:f>
              <c:strCache>
                <c:ptCount val="1"/>
                <c:pt idx="0">
                  <c:v>GDP growth rates for years that are farthest from election years</c:v>
                </c:pt>
              </c:strCache>
            </c:strRef>
          </c:tx>
          <c:spPr>
            <a:solidFill>
              <a:schemeClr val="accent1"/>
            </a:solidFill>
            <a:ln>
              <a:noFill/>
            </a:ln>
            <a:effectLst/>
          </c:spPr>
          <c:invertIfNegative val="0"/>
          <c:cat>
            <c:strRef>
              <c:f>Sheet1!$B$116:$B$125</c:f>
              <c:strCache>
                <c:ptCount val="10"/>
                <c:pt idx="0">
                  <c:v>1965/1966</c:v>
                </c:pt>
                <c:pt idx="1">
                  <c:v>1971/1972</c:v>
                </c:pt>
                <c:pt idx="2">
                  <c:v>1976/1977</c:v>
                </c:pt>
                <c:pt idx="3">
                  <c:v>1981</c:v>
                </c:pt>
                <c:pt idx="4">
                  <c:v>1985/1986</c:v>
                </c:pt>
                <c:pt idx="5">
                  <c:v>1990</c:v>
                </c:pt>
                <c:pt idx="6">
                  <c:v>1994/1995</c:v>
                </c:pt>
                <c:pt idx="7">
                  <c:v>1999/2000</c:v>
                </c:pt>
                <c:pt idx="8">
                  <c:v>2004/2005</c:v>
                </c:pt>
                <c:pt idx="9">
                  <c:v>2010</c:v>
                </c:pt>
              </c:strCache>
            </c:strRef>
          </c:cat>
          <c:val>
            <c:numRef>
              <c:f>Sheet1!$C$116:$C$125</c:f>
              <c:numCache>
                <c:formatCode>0.0</c:formatCode>
                <c:ptCount val="10"/>
                <c:pt idx="0">
                  <c:v>8.3688302863027548</c:v>
                </c:pt>
                <c:pt idx="1">
                  <c:v>19.628160636507928</c:v>
                </c:pt>
                <c:pt idx="2">
                  <c:v>5.8038811733898275</c:v>
                </c:pt>
                <c:pt idx="3">
                  <c:v>3.7735441966442238</c:v>
                </c:pt>
                <c:pt idx="4">
                  <c:v>5.7390586051877026</c:v>
                </c:pt>
                <c:pt idx="5">
                  <c:v>4.1920509742158441</c:v>
                </c:pt>
                <c:pt idx="6">
                  <c:v>3.5195005221976956</c:v>
                </c:pt>
                <c:pt idx="7">
                  <c:v>1.4525419937661819</c:v>
                </c:pt>
                <c:pt idx="8">
                  <c:v>5.5054829286847351</c:v>
                </c:pt>
                <c:pt idx="9" formatCode="0.00">
                  <c:v>8.4022770637024706</c:v>
                </c:pt>
              </c:numCache>
            </c:numRef>
          </c:val>
        </c:ser>
        <c:dLbls>
          <c:showLegendKey val="0"/>
          <c:showVal val="0"/>
          <c:showCatName val="0"/>
          <c:showSerName val="0"/>
          <c:showPercent val="0"/>
          <c:showBubbleSize val="0"/>
        </c:dLbls>
        <c:gapWidth val="219"/>
        <c:overlap val="-27"/>
        <c:axId val="1220552272"/>
        <c:axId val="1220552816"/>
      </c:barChart>
      <c:lineChart>
        <c:grouping val="standard"/>
        <c:varyColors val="0"/>
        <c:ser>
          <c:idx val="1"/>
          <c:order val="1"/>
          <c:tx>
            <c:strRef>
              <c:f>Sheet1!$D$115</c:f>
              <c:strCache>
                <c:ptCount val="1"/>
                <c:pt idx="0">
                  <c:v>average</c:v>
                </c:pt>
              </c:strCache>
            </c:strRef>
          </c:tx>
          <c:spPr>
            <a:ln w="28575" cap="rnd">
              <a:solidFill>
                <a:schemeClr val="accent2"/>
              </a:solidFill>
              <a:round/>
            </a:ln>
            <a:effectLst/>
          </c:spPr>
          <c:marker>
            <c:symbol val="none"/>
          </c:marker>
          <c:dLbls>
            <c:dLbl>
              <c:idx val="5"/>
              <c:layout>
                <c:manualLayout>
                  <c:x val="-6.2893081761006414E-2"/>
                  <c:y val="-4.6296296296296311E-3"/>
                </c:manualLayout>
              </c:layout>
              <c:spPr>
                <a:solidFill>
                  <a:srgbClr val="92D050"/>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Sheet1!$B$116:$B$125</c:f>
              <c:strCache>
                <c:ptCount val="10"/>
                <c:pt idx="0">
                  <c:v>1965/1966</c:v>
                </c:pt>
                <c:pt idx="1">
                  <c:v>1971/1972</c:v>
                </c:pt>
                <c:pt idx="2">
                  <c:v>1976/1977</c:v>
                </c:pt>
                <c:pt idx="3">
                  <c:v>1981</c:v>
                </c:pt>
                <c:pt idx="4">
                  <c:v>1985/1986</c:v>
                </c:pt>
                <c:pt idx="5">
                  <c:v>1990</c:v>
                </c:pt>
                <c:pt idx="6">
                  <c:v>1994/1995</c:v>
                </c:pt>
                <c:pt idx="7">
                  <c:v>1999/2000</c:v>
                </c:pt>
                <c:pt idx="8">
                  <c:v>2004/2005</c:v>
                </c:pt>
                <c:pt idx="9">
                  <c:v>2010</c:v>
                </c:pt>
              </c:strCache>
            </c:strRef>
          </c:cat>
          <c:val>
            <c:numRef>
              <c:f>Sheet1!$D$116:$D$125</c:f>
              <c:numCache>
                <c:formatCode>0.0</c:formatCode>
                <c:ptCount val="10"/>
                <c:pt idx="0">
                  <c:v>6.638532838059934</c:v>
                </c:pt>
                <c:pt idx="1">
                  <c:v>6.638532838059934</c:v>
                </c:pt>
                <c:pt idx="2">
                  <c:v>6.638532838059934</c:v>
                </c:pt>
                <c:pt idx="3">
                  <c:v>6.638532838059934</c:v>
                </c:pt>
                <c:pt idx="4">
                  <c:v>6.638532838059934</c:v>
                </c:pt>
                <c:pt idx="5">
                  <c:v>6.638532838059934</c:v>
                </c:pt>
                <c:pt idx="6">
                  <c:v>6.638532838059934</c:v>
                </c:pt>
                <c:pt idx="7">
                  <c:v>6.638532838059934</c:v>
                </c:pt>
                <c:pt idx="8">
                  <c:v>6.638532838059934</c:v>
                </c:pt>
                <c:pt idx="9">
                  <c:v>6.638532838059934</c:v>
                </c:pt>
              </c:numCache>
            </c:numRef>
          </c:val>
          <c:smooth val="0"/>
        </c:ser>
        <c:dLbls>
          <c:showLegendKey val="0"/>
          <c:showVal val="0"/>
          <c:showCatName val="0"/>
          <c:showSerName val="0"/>
          <c:showPercent val="0"/>
          <c:showBubbleSize val="0"/>
        </c:dLbls>
        <c:marker val="1"/>
        <c:smooth val="0"/>
        <c:axId val="1220552272"/>
        <c:axId val="1220552816"/>
      </c:lineChart>
      <c:catAx>
        <c:axId val="1220552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0552816"/>
        <c:crosses val="autoZero"/>
        <c:auto val="1"/>
        <c:lblAlgn val="ctr"/>
        <c:lblOffset val="100"/>
        <c:noMultiLvlLbl val="0"/>
      </c:catAx>
      <c:valAx>
        <c:axId val="1220552816"/>
        <c:scaling>
          <c:orientation val="minMax"/>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GDP growth rate (%)</a:t>
                </a:r>
              </a:p>
            </c:rich>
          </c:tx>
          <c:layout>
            <c:manualLayout>
              <c:xMode val="edge"/>
              <c:yMode val="edge"/>
              <c:x val="4.491629236423033E-2"/>
              <c:y val="0.26616141732283477"/>
            </c:manualLayout>
          </c:layout>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05522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latin typeface="Garamond" panose="02020502050306020203" pitchFamily="18" charset="0"/>
              </a:rPr>
              <a:t>B) GDP growth rates (on election years)</a:t>
            </a:r>
          </a:p>
        </c:rich>
      </c:tx>
      <c:overlay val="0"/>
      <c:spPr>
        <a:noFill/>
        <a:ln>
          <a:noFill/>
        </a:ln>
        <a:effectLst/>
      </c:spPr>
    </c:title>
    <c:autoTitleDeleted val="0"/>
    <c:plotArea>
      <c:layout>
        <c:manualLayout>
          <c:layoutTarget val="inner"/>
          <c:xMode val="edge"/>
          <c:yMode val="edge"/>
          <c:x val="0.16754135828562836"/>
          <c:y val="0.26430555555555557"/>
          <c:w val="0.77853703796579565"/>
          <c:h val="0.55108741615631385"/>
        </c:manualLayout>
      </c:layout>
      <c:barChart>
        <c:barDir val="col"/>
        <c:grouping val="clustered"/>
        <c:varyColors val="0"/>
        <c:ser>
          <c:idx val="0"/>
          <c:order val="0"/>
          <c:tx>
            <c:strRef>
              <c:f>Sheet1!$M$115</c:f>
              <c:strCache>
                <c:ptCount val="1"/>
                <c:pt idx="0">
                  <c:v>aXCA</c:v>
                </c:pt>
              </c:strCache>
            </c:strRef>
          </c:tx>
          <c:spPr>
            <a:solidFill>
              <a:schemeClr val="accent1"/>
            </a:solidFill>
            <a:ln>
              <a:noFill/>
            </a:ln>
            <a:effectLst/>
          </c:spPr>
          <c:invertIfNegative val="0"/>
          <c:cat>
            <c:numRef>
              <c:f>Sheet1!$L$116:$L$125</c:f>
              <c:numCache>
                <c:formatCode>General</c:formatCode>
                <c:ptCount val="10"/>
                <c:pt idx="0">
                  <c:v>1969</c:v>
                </c:pt>
                <c:pt idx="1">
                  <c:v>1974</c:v>
                </c:pt>
                <c:pt idx="2">
                  <c:v>1979</c:v>
                </c:pt>
                <c:pt idx="3">
                  <c:v>1983</c:v>
                </c:pt>
                <c:pt idx="4">
                  <c:v>1988</c:v>
                </c:pt>
                <c:pt idx="5">
                  <c:v>1992</c:v>
                </c:pt>
                <c:pt idx="6">
                  <c:v>1997</c:v>
                </c:pt>
                <c:pt idx="7">
                  <c:v>2002</c:v>
                </c:pt>
                <c:pt idx="8">
                  <c:v>2007</c:v>
                </c:pt>
                <c:pt idx="9">
                  <c:v>2013</c:v>
                </c:pt>
              </c:numCache>
            </c:numRef>
          </c:cat>
          <c:val>
            <c:numRef>
              <c:f>Sheet1!$M$116:$M$125</c:f>
              <c:numCache>
                <c:formatCode>General</c:formatCode>
                <c:ptCount val="10"/>
                <c:pt idx="0">
                  <c:v>7.959224456082282</c:v>
                </c:pt>
                <c:pt idx="1">
                  <c:v>4.0656173472308685</c:v>
                </c:pt>
                <c:pt idx="2">
                  <c:v>7.6152260415942408</c:v>
                </c:pt>
                <c:pt idx="3">
                  <c:v>1.309050241717856</c:v>
                </c:pt>
                <c:pt idx="4">
                  <c:v>6.2031838198845577</c:v>
                </c:pt>
                <c:pt idx="5">
                  <c:v>-0.79949395992763039</c:v>
                </c:pt>
                <c:pt idx="6">
                  <c:v>0.4749019204840722</c:v>
                </c:pt>
                <c:pt idx="7">
                  <c:v>0.5468595299945207</c:v>
                </c:pt>
                <c:pt idx="8">
                  <c:v>6.9932851542782544</c:v>
                </c:pt>
                <c:pt idx="9">
                  <c:v>5.6872313132210621</c:v>
                </c:pt>
              </c:numCache>
            </c:numRef>
          </c:val>
        </c:ser>
        <c:dLbls>
          <c:showLegendKey val="0"/>
          <c:showVal val="0"/>
          <c:showCatName val="0"/>
          <c:showSerName val="0"/>
          <c:showPercent val="0"/>
          <c:showBubbleSize val="0"/>
        </c:dLbls>
        <c:gapWidth val="219"/>
        <c:overlap val="-27"/>
        <c:axId val="1220554992"/>
        <c:axId val="1220555536"/>
      </c:barChart>
      <c:lineChart>
        <c:grouping val="standard"/>
        <c:varyColors val="0"/>
        <c:ser>
          <c:idx val="1"/>
          <c:order val="1"/>
          <c:tx>
            <c:strRef>
              <c:f>Sheet1!$N$115</c:f>
              <c:strCache>
                <c:ptCount val="1"/>
                <c:pt idx="0">
                  <c:v>avaerge</c:v>
                </c:pt>
              </c:strCache>
            </c:strRef>
          </c:tx>
          <c:spPr>
            <a:ln w="28575" cap="rnd">
              <a:solidFill>
                <a:schemeClr val="accent2"/>
              </a:solidFill>
              <a:round/>
            </a:ln>
            <a:effectLst/>
          </c:spPr>
          <c:marker>
            <c:symbol val="none"/>
          </c:marker>
          <c:dLbls>
            <c:dLbl>
              <c:idx val="5"/>
              <c:layout>
                <c:manualLayout>
                  <c:x val="-2.3557126030624265E-2"/>
                  <c:y val="-9.2592592592592657E-3"/>
                </c:manualLayout>
              </c:layout>
              <c:showLegendKey val="0"/>
              <c:showVal val="1"/>
              <c:showCatName val="0"/>
              <c:showSerName val="0"/>
              <c:showPercent val="0"/>
              <c:showBubbleSize val="0"/>
              <c:extLst>
                <c:ext xmlns:c15="http://schemas.microsoft.com/office/drawing/2012/chart" uri="{CE6537A1-D6FC-4f65-9D91-7224C49458BB}"/>
              </c:extLst>
            </c:dLbl>
            <c:spPr>
              <a:solidFill>
                <a:srgbClr val="92D050"/>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Sheet1!$L$116:$L$125</c:f>
              <c:numCache>
                <c:formatCode>General</c:formatCode>
                <c:ptCount val="10"/>
                <c:pt idx="0">
                  <c:v>1969</c:v>
                </c:pt>
                <c:pt idx="1">
                  <c:v>1974</c:v>
                </c:pt>
                <c:pt idx="2">
                  <c:v>1979</c:v>
                </c:pt>
                <c:pt idx="3">
                  <c:v>1983</c:v>
                </c:pt>
                <c:pt idx="4">
                  <c:v>1988</c:v>
                </c:pt>
                <c:pt idx="5">
                  <c:v>1992</c:v>
                </c:pt>
                <c:pt idx="6">
                  <c:v>1997</c:v>
                </c:pt>
                <c:pt idx="7">
                  <c:v>2002</c:v>
                </c:pt>
                <c:pt idx="8">
                  <c:v>2007</c:v>
                </c:pt>
                <c:pt idx="9">
                  <c:v>2013</c:v>
                </c:pt>
              </c:numCache>
            </c:numRef>
          </c:cat>
          <c:val>
            <c:numRef>
              <c:f>Sheet1!$N$116:$N$125</c:f>
              <c:numCache>
                <c:formatCode>0.0</c:formatCode>
                <c:ptCount val="10"/>
                <c:pt idx="0">
                  <c:v>4.0055085864560063</c:v>
                </c:pt>
                <c:pt idx="1">
                  <c:v>4.0055085864560063</c:v>
                </c:pt>
                <c:pt idx="2">
                  <c:v>4.0055085864560063</c:v>
                </c:pt>
                <c:pt idx="3">
                  <c:v>4.0055085864560063</c:v>
                </c:pt>
                <c:pt idx="4">
                  <c:v>4.0055085864560063</c:v>
                </c:pt>
                <c:pt idx="5">
                  <c:v>4.0055085864560063</c:v>
                </c:pt>
                <c:pt idx="6">
                  <c:v>4.0055085864560063</c:v>
                </c:pt>
                <c:pt idx="7">
                  <c:v>4.0055085864560063</c:v>
                </c:pt>
                <c:pt idx="8">
                  <c:v>4.0055085864560063</c:v>
                </c:pt>
                <c:pt idx="9">
                  <c:v>4.0055085864560063</c:v>
                </c:pt>
              </c:numCache>
            </c:numRef>
          </c:val>
          <c:smooth val="0"/>
        </c:ser>
        <c:dLbls>
          <c:showLegendKey val="0"/>
          <c:showVal val="0"/>
          <c:showCatName val="0"/>
          <c:showSerName val="0"/>
          <c:showPercent val="0"/>
          <c:showBubbleSize val="0"/>
        </c:dLbls>
        <c:marker val="1"/>
        <c:smooth val="0"/>
        <c:axId val="1220554992"/>
        <c:axId val="1220555536"/>
      </c:lineChart>
      <c:catAx>
        <c:axId val="1220554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0555536"/>
        <c:crosses val="autoZero"/>
        <c:auto val="1"/>
        <c:lblAlgn val="ctr"/>
        <c:lblOffset val="100"/>
        <c:noMultiLvlLbl val="0"/>
      </c:catAx>
      <c:valAx>
        <c:axId val="1220555536"/>
        <c:scaling>
          <c:orientation val="minMax"/>
          <c:max val="25"/>
        </c:scaling>
        <c:delete val="0"/>
        <c:axPos val="l"/>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GDP growth rates (%)</a:t>
                </a:r>
              </a:p>
            </c:rich>
          </c:tx>
          <c:layout>
            <c:manualLayout>
              <c:xMode val="edge"/>
              <c:yMode val="edge"/>
              <c:x val="1.2062863161213131E-2"/>
              <c:y val="0.24969889180519117"/>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0554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CA117-2842-409C-8C54-2C38547B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Noah Wamalwa</dc:creator>
  <cp:keywords/>
  <dc:description/>
  <cp:lastModifiedBy>Noah Wamalwa</cp:lastModifiedBy>
  <cp:revision>2</cp:revision>
  <cp:lastPrinted>2016-03-03T10:03:00Z</cp:lastPrinted>
  <dcterms:created xsi:type="dcterms:W3CDTF">2016-03-09T09:27:00Z</dcterms:created>
  <dcterms:modified xsi:type="dcterms:W3CDTF">2016-03-09T09:27:00Z</dcterms:modified>
</cp:coreProperties>
</file>